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p>
      <w:pPr>
        <w:bidi/>
        <w:spacing w:after="400" w:before="0" w:line="360" w:lineRule="auto"/>
        <w:jc w:val="center"/>
      </w:pPr>
      <w:r>
        <w:rPr>
          <w:rFonts w:ascii="David" w:cs="David" w:eastAsia="David" w:hAnsi="David"/>
          <w:b/>
          <w:bCs/>
          <w:i w:val="false"/>
          <w:iCs w:val="false"/>
          <w:noProof/>
          <w:sz w:val="32"/>
          <w:szCs w:val="32"/>
          <w:rtl/>
          <w:lang w:val="en-US" w:bidi="he-IL"/>
        </w:rPr>
        <w:t xml:space="preserve">עבודה אקדמית בניתוח ספרותי</w:t>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200" w:before="0" w:line="360" w:lineRule="auto"/>
        <w:jc w:val="center"/>
      </w:pPr>
      <w:r>
        <w:rPr>
          <w:rFonts w:ascii="David" w:cs="David" w:eastAsia="David" w:hAnsi="David"/>
          <w:b/>
          <w:bCs/>
          <w:i w:val="false"/>
          <w:iCs w:val="false"/>
          <w:noProof/>
          <w:sz w:val="48"/>
          <w:szCs w:val="48"/>
          <w:rtl/>
          <w:lang w:val="en-US" w:bidi="he-IL"/>
        </w:rPr>
        <w:t xml:space="preserve">שְׁתִיקָה בְּעֶרֶב אֶחָד</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בסיפור "דוב קוטב" מאת אתגר קרת,</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מתוך הקובץ "אוטוקורקט" (2024)</w:t>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מגישה:  </w:t>
      </w:r>
      <w:r>
        <w:rPr>
          <w:rFonts w:ascii="David" w:cs="David" w:eastAsia="David" w:hAnsi="David"/>
          <w:b w:val="false"/>
          <w:bCs w:val="false"/>
          <w:i w:val="false"/>
          <w:iCs w:val="false"/>
          <w:noProof/>
          <w:sz w:val="28"/>
          <w:szCs w:val="28"/>
          <w:rtl/>
          <w:lang w:val="en-US" w:bidi="he-IL"/>
        </w:rPr>
        <w:t xml:space="preserve">הינד מסארוה</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תעודת זהות:  </w:t>
      </w:r>
      <w:r>
        <w:rPr>
          <w:rFonts w:ascii="David" w:cs="David" w:eastAsia="David" w:hAnsi="David"/>
          <w:b w:val="false"/>
          <w:bCs w:val="false"/>
          <w:i w:val="false"/>
          <w:iCs w:val="false"/>
          <w:noProof/>
          <w:sz w:val="28"/>
          <w:szCs w:val="28"/>
          <w:rtl/>
          <w:lang w:val="en-US" w:bidi="he-IL"/>
        </w:rPr>
        <w:t xml:space="preserve">037003795</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מרצה:  </w:t>
      </w:r>
      <w:r>
        <w:rPr>
          <w:rFonts w:ascii="David" w:cs="David" w:eastAsia="David" w:hAnsi="David"/>
          <w:b w:val="false"/>
          <w:bCs w:val="false"/>
          <w:i w:val="false"/>
          <w:iCs w:val="false"/>
          <w:noProof/>
          <w:sz w:val="28"/>
          <w:szCs w:val="28"/>
          <w:rtl/>
          <w:lang w:val="en-US" w:bidi="he-IL"/>
        </w:rPr>
        <w:t xml:space="preserve">ד"ר ישראלה וייס</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תאריך הגשה:  </w:t>
      </w:r>
      <w:r>
        <w:rPr>
          <w:rFonts w:ascii="David" w:cs="David" w:eastAsia="David" w:hAnsi="David"/>
          <w:b w:val="false"/>
          <w:bCs w:val="false"/>
          <w:i w:val="false"/>
          <w:iCs w:val="false"/>
          <w:noProof/>
          <w:sz w:val="28"/>
          <w:szCs w:val="28"/>
          <w:rtl/>
          <w:lang w:val="en-US" w:bidi="he-IL"/>
        </w:rPr>
        <w:t xml:space="preserve">_______________________</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תקציר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מנתחת את הסיפור "דוב קוטב" מאת אתגר קרת, מתוך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noProof/>
          <w:sz w:val="28"/>
          <w:szCs w:val="28"/>
          <w:rtl/>
          <w:lang w:val="en-US" w:bidi="he-IL"/>
        </w:rPr>
        <w:t xml:space="preserve">מילות מפתח: אתגר קרת, הסיפור העברי הקצר, בדידות בזקנה, בינה מלאכותית, האנשה, שכול לאחר התאבדות, ספרות עתיד, "דוב קוטב".</w:t>
      </w:r>
    </w:p>
    <w:p>
      <w:r>
        <w:br w:type="page"/>
      </w:r>
    </w:p>
    <w:p>
      <w:pPr>
        <w:bidi/>
        <w:spacing w:after="200" w:before="360" w:line="360" w:lineRule="auto"/>
        <w:jc w:val="right"/>
      </w:pPr>
      <w:r>
        <w:rPr>
          <w:rFonts w:ascii="David" w:cs="David" w:eastAsia="David" w:hAnsi="David"/>
          <w:b/>
          <w:bCs/>
          <w:i w:val="false"/>
          <w:iCs w:val="false"/>
          <w:noProof/>
          <w:sz w:val="34"/>
          <w:szCs w:val="34"/>
          <w:rtl/>
          <w:lang w:val="en-US" w:bidi="he-I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 מבוא</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1.2 מבנה העבודה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2. רקע תאורטי</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2.1 הזמן בכתיבתו של קרת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2.2 העתיד כז'אנר בספרות העברית העכשווית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2.3 בדידות בזקנה ומענים טכנולוגיים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2.4 האנשה, אפקט אלייזה וגבולות ההבנה של המכונה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2.5 שכול לאחר התאבדות ודיכוי מחשבות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3. מסגרת הסיפור: טכנולוגיה שמאבדת עניין</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3.1 משפט הפתיחה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3.2 שלוש התשובות המשובשות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3.3 המומחים והתקשורת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3.4 המעבר אל הפרט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4. ברכה בוחניק: כיצד נבנית בדידות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4.1 שם המקום והמוסד</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4.2 דוב הקוטב וכותרת הסיפור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4.3 סרחיו והרשימה בקווים נטויים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4.4 הרכוש שנשאר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4.5 המלצתה של פנינה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5. הדיאלוג עם זיגמונד</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5.1 צורת התמליל</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5.2 מזג האוויר: "האם אתה חושב" מול "אני יודע בוודאות"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5.3 טקס ההדדיות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5.4 הרשומה על סרחיו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5.5 מתיחה מול שקר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5.6 הספרים והבוידעם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noProof/>
          <w:color w:val="808080"/>
          <w:sz w:val="24"/>
          <w:szCs w:val="24"/>
          <w:rtl/>
          <w:lang w:val="en-US" w:bidi="he-I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6. הסיום: השתיקה והחשיכה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6.1 השאלה שבאמת נשאלה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6.2 "זיגמונד לא 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6.3 החושך שהולך ומתעצם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7. דיון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7.1 בדידות שנבנית ולא מוצהרת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7.2 תפקידה של המכונה: מענה בלי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7.3 השתיקה כפסק דין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7.4 הצורה כטענה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8. סיכום ומסקנות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קראה קריאה צמודה את הסיפור "דוב קוטב" מתוך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8.1 המלצות יישומיות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8.2 מגבלות והצעות למחקר המשך</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noProof/>
          <w:sz w:val="28"/>
          <w:szCs w:val="28"/>
          <w:rtl/>
          <w:lang w:val="en-US" w:bidi="he-IL"/>
        </w:rPr>
        <w:t xml:space="preserve">קרת, א' (2024).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noProof/>
          <w:sz w:val="28"/>
          <w:szCs w:val="28"/>
          <w:rtl/>
          <w:lang w:val="en-US" w:bidi="he-I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noProof/>
          <w:sz w:val="28"/>
          <w:szCs w:val="28"/>
          <w:rtl/>
          <w:lang w:val="en-US" w:bidi="he-IL"/>
        </w:rPr>
        <w:t xml:space="preserve">אות: כתב עת לספרות ולתיאוריה</w:t>
      </w:r>
      <w:r>
        <w:rPr>
          <w:rFonts w:ascii="David" w:cs="David" w:eastAsia="David" w:hAnsi="David"/>
          <w:b w:val="false"/>
          <w:bCs w:val="false"/>
          <w:i w:val="false"/>
          <w:iCs w:val="false"/>
          <w:noProof/>
          <w:sz w:val="28"/>
          <w:szCs w:val="28"/>
          <w:rtl/>
          <w:lang w:val="en-US" w:bidi="he-I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noProof/>
          <w:color w:val="808080"/>
          <w:sz w:val="24"/>
          <w:szCs w:val="24"/>
          <w:rtl/>
          <w:lang w:val="en-US" w:bidi="he-I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Shemtov, V. K. (2018). A sense of no ending, part 2: Etgar Keret and the changing concept of time in contemporary Hebrew literature. </w:t>
      </w:r>
      <w:r>
        <w:rPr>
          <w:rFonts w:ascii="David" w:cs="David" w:eastAsia="David" w:hAnsi="David"/>
          <w:b w:val="false"/>
          <w:bCs w:val="false"/>
          <w:i/>
          <w:iCs/>
          <w:noProof/>
          <w:sz w:val="28"/>
          <w:szCs w:val="28"/>
          <w:rtl w:val="false"/>
          <w:lang w:val="en-US" w:bidi="he-IL"/>
        </w:rPr>
        <w:t xml:space="preserve">Dibur Literary Journal, 6</w:t>
      </w:r>
      <w:r>
        <w:rPr>
          <w:rFonts w:ascii="David" w:cs="David" w:eastAsia="David" w:hAnsi="David"/>
          <w:b w:val="false"/>
          <w:bCs w:val="false"/>
          <w:i w:val="false"/>
          <w:iCs w:val="false"/>
          <w:noProof/>
          <w:sz w:val="28"/>
          <w:szCs w:val="28"/>
          <w:rtl w:val="false"/>
          <w:lang w:val="en-US" w:bidi="he-IL"/>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noProof/>
          <w:sz w:val="28"/>
          <w:szCs w:val="28"/>
          <w:rtl w:val="false"/>
          <w:lang w:val="en-US" w:bidi="he-IL"/>
        </w:rPr>
        <w:t xml:space="preserve">Frontiers in Computer Science, 7</w:t>
      </w:r>
      <w:r>
        <w:rPr>
          <w:rFonts w:ascii="David" w:cs="David" w:eastAsia="David" w:hAnsi="David"/>
          <w:b w:val="false"/>
          <w:bCs w:val="false"/>
          <w:i w:val="false"/>
          <w:iCs w:val="false"/>
          <w:noProof/>
          <w:sz w:val="28"/>
          <w:szCs w:val="28"/>
          <w:rtl w:val="false"/>
          <w:lang w:val="en-US" w:bidi="he-IL"/>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noProof/>
          <w:sz w:val="28"/>
          <w:szCs w:val="28"/>
          <w:rtl w:val="false"/>
          <w:lang w:val="en-US" w:bidi="he-IL"/>
        </w:rPr>
        <w:t xml:space="preserve">Journal of Medical Internet Research, 26</w:t>
      </w:r>
      <w:r>
        <w:rPr>
          <w:rFonts w:ascii="David" w:cs="David" w:eastAsia="David" w:hAnsi="David"/>
          <w:b w:val="false"/>
          <w:bCs w:val="false"/>
          <w:i w:val="false"/>
          <w:iCs w:val="false"/>
          <w:noProof/>
          <w:sz w:val="28"/>
          <w:szCs w:val="28"/>
          <w:rtl w:val="false"/>
          <w:lang w:val="en-US" w:bidi="he-IL"/>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Wegner, D. M., Schneider, D. J., Carter, S. R., &amp; White, T. L. (1987). Paradoxical effects of thought suppression. </w:t>
      </w:r>
      <w:r>
        <w:rPr>
          <w:rFonts w:ascii="David" w:cs="David" w:eastAsia="David" w:hAnsi="David"/>
          <w:b w:val="false"/>
          <w:bCs w:val="false"/>
          <w:i/>
          <w:iCs/>
          <w:noProof/>
          <w:sz w:val="28"/>
          <w:szCs w:val="28"/>
          <w:rtl w:val="false"/>
          <w:lang w:val="en-US" w:bidi="he-IL"/>
        </w:rPr>
        <w:t xml:space="preserve">Journal of Personality and Social Psychology, 53</w:t>
      </w:r>
      <w:r>
        <w:rPr>
          <w:rFonts w:ascii="David" w:cs="David" w:eastAsia="David" w:hAnsi="David"/>
          <w:b w:val="false"/>
          <w:bCs w:val="false"/>
          <w:i w:val="false"/>
          <w:iCs w:val="false"/>
          <w:noProof/>
          <w:sz w:val="28"/>
          <w:szCs w:val="28"/>
          <w:rtl w:val="false"/>
          <w:lang w:val="en-US" w:bidi="he-IL"/>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Weizenbaum, J. (1966). ELIZA: A computer program for the study of natural language communication between man and machine. </w:t>
      </w:r>
      <w:r>
        <w:rPr>
          <w:rFonts w:ascii="David" w:cs="David" w:eastAsia="David" w:hAnsi="David"/>
          <w:b w:val="false"/>
          <w:bCs w:val="false"/>
          <w:i/>
          <w:iCs/>
          <w:noProof/>
          <w:sz w:val="28"/>
          <w:szCs w:val="28"/>
          <w:rtl w:val="false"/>
          <w:lang w:val="en-US" w:bidi="he-IL"/>
        </w:rPr>
        <w:t xml:space="preserve">Communications of the ACM, 9</w:t>
      </w:r>
      <w:r>
        <w:rPr>
          <w:rFonts w:ascii="David" w:cs="David" w:eastAsia="David" w:hAnsi="David"/>
          <w:b w:val="false"/>
          <w:bCs w:val="false"/>
          <w:i w:val="false"/>
          <w:iCs w:val="false"/>
          <w:noProof/>
          <w:sz w:val="28"/>
          <w:szCs w:val="28"/>
          <w:rtl w:val="false"/>
          <w:lang w:val="en-US" w:bidi="he-IL"/>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Young, I. T., Iglewicz, A., Glorioso, D., Lanouette, N., Seay, K., Ilapakurti, M., &amp; Zisook, S. (2012). Suicide bereavement and complicated grief. </w:t>
      </w:r>
      <w:r>
        <w:rPr>
          <w:rFonts w:ascii="David" w:cs="David" w:eastAsia="David" w:hAnsi="David"/>
          <w:b w:val="false"/>
          <w:bCs w:val="false"/>
          <w:i/>
          <w:iCs/>
          <w:noProof/>
          <w:sz w:val="28"/>
          <w:szCs w:val="28"/>
          <w:rtl w:val="false"/>
          <w:lang w:val="en-US" w:bidi="he-IL"/>
        </w:rPr>
        <w:t xml:space="preserve">Dialogues in Clinical Neuroscience, 14</w:t>
      </w:r>
      <w:r>
        <w:rPr>
          <w:rFonts w:ascii="David" w:cs="David" w:eastAsia="David" w:hAnsi="David"/>
          <w:b w:val="false"/>
          <w:bCs w:val="false"/>
          <w:i w:val="false"/>
          <w:iCs w:val="false"/>
          <w:noProof/>
          <w:sz w:val="28"/>
          <w:szCs w:val="28"/>
          <w:rtl w:val="false"/>
          <w:lang w:val="en-US" w:bidi="he-IL"/>
        </w:rPr>
        <w:t xml:space="preserve">(2), 177-186. https://doi.org/10.31887/DCNS.2012.14.2/iyoung</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10. רפלקציה</w:t>
      </w:r>
    </w:p>
    <w:p>
      <w:pPr>
        <w:bidi/>
        <w:spacing w:after="120" w:before="0" w:line="360" w:lineRule="auto"/>
        <w:ind w:left="340" w:right="340"/>
        <w:jc w:val="both"/>
      </w:pPr>
      <w:r>
        <w:rPr>
          <w:rFonts w:ascii="David" w:cs="David" w:eastAsia="David" w:hAnsi="David"/>
          <w:b w:val="false"/>
          <w:bCs w:val="false"/>
          <w:i/>
          <w:iCs/>
          <w:noProof/>
          <w:color w:val="808080"/>
          <w:sz w:val="24"/>
          <w:szCs w:val="24"/>
          <w:rtl/>
          <w:lang w:val="en-US" w:bidi="he-IL"/>
        </w:rPr>
        <w:t xml:space="preserve">הערה: פרק הרפלקציה אישי מטבעו ונכתב בגוף ראשון, בשונה משאר העבודה. הפרק בנוי לפי שלבי העבודה בפועל, ויש להתאים את הניסוח לחוויה האישית.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כמה טיוטות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11. נספחים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נספח א': הסיפור "דוב קוטב", מתוך אתגר קרת,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noProof/>
          <w:color w:val="808080"/>
          <w:sz w:val="24"/>
          <w:szCs w:val="24"/>
          <w:rtl/>
          <w:lang w:val="en-US" w:bidi="he-I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164</w:t>
      </w:r>
    </w:p>
    <w:p>
      <w:r>
        <w:br w:type="page"/>
      </w:r>
    </w:p>
    <w:p>
      <w:pPr>
        <w:bidi/>
        <w:spacing w:after="120" w:before="0" w:line="360" w:lineRule="auto"/>
        <w:jc w:val="right"/>
      </w:pPr>
      <w:r>
        <w:rPr>
          <w:rFonts w:ascii="David" w:cs="David" w:eastAsia="David" w:hAnsi="David"/>
          <w:b/>
          <w:bCs/>
          <w:i w:val="false"/>
          <w:iCs w:val="false"/>
          <w:noProof/>
          <w:sz w:val="28"/>
          <w:szCs w:val="28"/>
          <w:rtl/>
          <w:lang w:val="en-US" w:bidi="he-I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lang w:val="en-US" w:bidi="he-I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lang w:val="en-US" w:bidi="he-IL"/>
    </w:rPr>
  </w:style>
  <w:style w:type="paragraph" w:styleId="Heading2">
    <w:name w:val="Heading 2"/>
    <w:basedOn w:val="Normal"/>
    <w:next w:val="Normal"/>
    <w:qFormat/>
    <w:rPr>
      <w:rFonts w:ascii="David" w:cs="David" w:eastAsia="David" w:hAnsi="David"/>
      <w:b/>
      <w:bCs/>
      <w:color w:val="000000"/>
      <w:sz w:val="30"/>
      <w:szCs w:val="30"/>
      <w:lang w:val="en-US" w:bidi="he-I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88e15adb155a136428071920555763fa7b67e9.png"/><Relationship Id="rId9" Type="http://schemas.openxmlformats.org/officeDocument/2006/relationships/image" Target="media/f4eb372187b5c7f6eaf3d0ce85e0cae815ff4020.png"/><Relationship Id="rId10" Type="http://schemas.openxmlformats.org/officeDocument/2006/relationships/image" Target="media/58aba37d114d525cf6b6e9ec60e99ebb77c38c25.png"/><Relationship Id="rId11" Type="http://schemas.openxmlformats.org/officeDocument/2006/relationships/image" Target="media/1643843bec33662adb093aad819c5135263d6c8b.png"/><Relationship Id="rId12" Type="http://schemas.openxmlformats.org/officeDocument/2006/relationships/image" Target="media/97fd07d8257f9108b7a8017aba4051dbb5e63b8f.png"/><Relationship Id="rId13" Type="http://schemas.openxmlformats.org/officeDocument/2006/relationships/image" Target="media/e6203e49cb148dfe0b6582bd695ecdd6202ac4d0.png"/><Relationship Id="rId14" Type="http://schemas.openxmlformats.org/officeDocument/2006/relationships/image" Target="media/e4c9794aabce0831caf8adaa24ba05fe8963199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2026-09-01T15:46:44.987Z</dcterms:created>
  <dcterms:modified xsi:type="dcterms:W3CDTF">2026-09-01T15:46:44.988Z</dcterms:modified>
</cp:coreProperties>
</file>

<file path=docProps/custom.xml><?xml version="1.0" encoding="utf-8"?>
<Properties xmlns="http://schemas.openxmlformats.org/officeDocument/2006/custom-properties" xmlns:vt="http://schemas.openxmlformats.org/officeDocument/2006/docPropsVTypes"/>
</file>