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sz w:val="30"/>
          <w:szCs w:val="34"/>
          <w:rtl/>
          <w:lang w:val="en-US" w:bidi="ar-SA"/>
        </w:rPr>
        <w:t xml:space="preserve">[اسم الكلية / الجامعة]</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البرنامج / القسم]</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المساق ورقمه]</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المحاضر/ة]</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400" w:before="400" w:line="480"/>
        <w:jc w:val="center"/>
      </w:pPr>
      <w:r>
        <w:rPr>
          <w:rFonts w:ascii="Times New Roman" w:cs="Simplified Arabic" w:eastAsia="Times New Roman" w:hAnsi="Times New Roman"/>
          <w:b/>
          <w:bCs/>
          <w:sz w:val="36"/>
          <w:szCs w:val="40"/>
          <w:rtl/>
          <w:lang w:val="en-US" w:bidi="ar-SA"/>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sz w:val="26"/>
          <w:szCs w:val="30"/>
          <w:rtl/>
          <w:lang w:val="en-US" w:bidi="ar-SA"/>
        </w:rPr>
        <w:t xml:space="preserve">بحث سمينار</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إعداد الطالبة: [الاسم الكامل]</w:t>
      </w:r>
    </w:p>
    <w:p>
      <w:pPr>
        <w:bidi/>
        <w:spacing w:after="200" w:before="0" w:line="480"/>
        <w:jc w:val="center"/>
      </w:pPr>
      <w:r>
        <w:rPr>
          <w:rFonts w:ascii="Times New Roman" w:cs="Simplified Arabic" w:eastAsia="Times New Roman" w:hAnsi="Times New Roman"/>
          <w:b w:val="false"/>
          <w:sz w:val="26"/>
          <w:szCs w:val="30"/>
          <w:rtl/>
          <w:lang w:val="en-US" w:bidi="ar-SA"/>
        </w:rPr>
        <w:t xml:space="preserve">رقم الهوية: [الرقم]</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sz w:val="36"/>
          <w:szCs w:val="40"/>
          <w:rtl/>
          <w:lang w:val="en-US" w:bidi="ar-SA"/>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الملخص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الكلمات المفتاحية:</w:t>
      </w:r>
      <w:r>
        <w:rPr>
          <w:rFonts w:ascii="Times New Roman" w:cs="Simplified Arabic" w:eastAsia="Times New Roman" w:hAnsi="Times New Roman"/>
          <w:b w:val="false"/>
          <w:i w:val="false"/>
          <w:iCs w:val="false"/>
          <w:sz w:val="24"/>
          <w:szCs w:val="28"/>
          <w:rtl/>
          <w:lang w:val="en-US" w:bidi="ar-SA"/>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المقدمة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تنطلق هذه الدراسة من فكرة قديمة وحديثة معاً. قديمة لأن بياجيه (Piaget,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(Abrahamson &amp; Lindgren,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(Debrenti,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المراجعة المنهجية التي أجراها دان وآخرون (Dan et al.,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(Hussein et al.,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(Have et al.,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(Beck et al.,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الولايات المتحدة، أجرت فازو وسكرايد (Vazou &amp; Skrade,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(Mavilidi et al.,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(White &amp; McCoy,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الصورة ليست إيجابية على نحو مطلق. أجرت سيفاويا وآخرون (Syväoja et al.,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(Byun &amp; Joung,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تكاد الأدبيات تجمع على أن الأثر الأوضح والأسرع للألعاب في تعليم الرياضيات هو الأثر الدافعي. صنف حسين وآخرون (Hussein et al.,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(Dan et al.,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ونمر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ونمر،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أسئلة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منهجية البحث</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منهج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(Guest et al.,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أداة البحث</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إجراءات البحث وأخلاقياته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تحليل البيانات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حُللت البيانات بأسلوب التحليل الموضوعي وفق الخطوات الست التي وصفتها براون وكلارك (Braun &amp; Clarke,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بقاء أثر التعلم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رأت فيه المشاركات الفرق الأكثر دلالة هو نوع الأسئلة. تقول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تؤيد هذه النتائج تأييداً كاملاً الافتراض الأساسي لنظرية المعرفة المجسدة كما صاغها أبراهامسون وليندغرين (Abrahamson &amp; Lindgren,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(Bruner,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حدود التبسيط التي حددتها المعلمات مع ملاحظة حسين وآخرين (Hussein et al.,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تتسق هذه النتائج مع الاتجاه العام في الدراسات التجريبية، ولا سيما دراسة هافه وآخرين (Have et al., 2018) ودراسة فازو وسكرايد (Vazou &amp; Skrade, 2017) ودراسة الحربي (2026)، وتتسق نتيجة بقاء أثر التعلم مع ما وجدته مافيليدي وآخرون (Mavilidi et al.,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(Byun &amp; Joung,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الأكثر إثارة للاهتمام تتعلق بالفئة الأكثر استفادة. وجدت المعلمات أن التحسن جاء من الثلثين الأدنى والأوسط، وهذا يتفق مع جوابرة ونمر (2024) في أهمية الألعاب لمتدني التحصيل، ويبدو للوهلة الأولى مخالفاً لنتيجة بيك وآخرين (Beck et al.,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(Syväoja et al.,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يتفق الإجماع على الأثر الدافعي مع ما خلص إليه حسين وآخرون (Hussein et al., 2022) ودان وآخرون (Dan et al., 2024) ووايت وماكوي (White &amp; McCoy,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إسهام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محددات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مجلة المناهج وطرق التدريس، 3(2)،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الحربي، ع' ع' (2026). فاعلية توظيف الألعاب التعليمية في تحسين مستوى التحصيل العلمي في مادة الرياضيات لدى طلاب الصف الثالث الابتدائي. مجلة الآداب والعلوم الإنسانية والاجتماعية.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Abrahamson, D., &amp; Lindgren, R. (2014). Embodiment and embodied design. In R. K. Sawyer (Ed.), The Cambridge handbook of the learning sciences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Beck, M. M., Lind, R. R., Geertsen, S. S., Ritz, C., Lundbye-Jensen, J., &amp; Wienecke, J. (2016). Motor-enriched learning activities can improve mathematical performance in preadolescent children. Frontiers in Human Neuroscience, 10,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Braun, V., &amp; Clarke, V. (2006). Using thematic analysis in psychology. Qualitative Research in Psychology, 3(2),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Bruner, J. S. (1966). Toward a theory of instruction.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Byun, J., &amp; Joung, E. (2018). Digital game-based learning for K-12 mathematics education: A meta-analysis. School Science and Mathematics, 118(3-4),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Creswell, J. W. (2013). Qualitative inquiry and research design: Choosing among five approaches (3rd ed.).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Dan, N. N., Trung, L. T. B. T., Nga, N. T., &amp; Dung, T. M. (2024). Digital game-based learning in mathematics education at primary school level: A systematic literature review. Eurasia Journal of Mathematics, Science and Technology Education, 20(4),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Debrenti, E. (2024). Game-based learning experiences in primary mathematics education. Frontiers in Education, 9,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Deci, E. L., &amp; Ryan, R. M. (2000). The "what" and "why" of goal pursuits: Human needs and the self-determination of behavior. Psychological Inquiry, 11(4),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Guest, G., Bunce, A., &amp; Johnson, L. (2006). How many interviews are enough? An experiment with data saturation and variability. Field Methods, 18(1),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Have, M., Nielsen, J. H., Ernst, M. T., Gejl, A. K., Fredens, K., Grøntved, A., &amp; Kristensen, P. L. (2018). Classroom-based physical activity improves children's math achievement: A randomized controlled trial. PLoS ONE, 13(12),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Hussein, M. H., Ow, S. H., Elaish, M. M., &amp; Jensen, E. O. (2022). Digital game-based learning in K-12 mathematics education: A systematic literature review. Education and Information Technologies, 27(2),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Lincoln, Y. S., &amp; Guba, E. G. (1985). Naturalistic inquiry.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Mavilidi, M. F., Okely, A., Chandler, P., Domazet, S. L., &amp; Paas, F. (2018). Immediate and delayed effects of integrating physical activity into preschool children's learning of numeracy skills. Journal of Experimental Child Psychology, 166,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Piaget, J. (1952). The origins of intelligence in children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British Journal of Educational Psychology, 94(3),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Vazou, S., &amp; Skrade, M. A. B. (2017). Intervention integrating physical activity with math: Math performance, perceived competence, and need satisfaction. International Journal of Sport and Exercise Psychology, 15(5),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White, K., &amp; McCoy, L. P. (2019). Effects of game-based learning on attitude and achievement in elementary mathematics. Networks: An Online Journal for Teacher Research, 21(1),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Wilson, M. (2002). Six views of embodied cognition. Psychonomic Bulletin &amp; Review, 9(4),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الملاحق</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تمهيد يُقرأ للمشاركة:</w:t>
      </w:r>
      <w:r>
        <w:rPr>
          <w:rFonts w:ascii="Times New Roman" w:cs="Simplified Arabic" w:eastAsia="Times New Roman" w:hAnsi="Times New Roman"/>
          <w:b w:val="false"/>
          <w:i w:val="false"/>
          <w:iCs w:val="false"/>
          <w:sz w:val="24"/>
          <w:szCs w:val="28"/>
          <w:rtl/>
          <w:lang w:val="en-US" w:bidi="ar-SA"/>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البيانات العامة:</w:t>
      </w:r>
      <w:r>
        <w:rPr>
          <w:rFonts w:ascii="Times New Roman" w:cs="Simplified Arabic" w:eastAsia="Times New Roman" w:hAnsi="Times New Roman"/>
          <w:b w:val="false"/>
          <w:i w:val="false"/>
          <w:iCs w:val="false"/>
          <w:sz w:val="24"/>
          <w:szCs w:val="28"/>
          <w:rtl/>
          <w:lang w:val="en-US" w:bidi="ar-SA"/>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أسئلة متابعة تُستخدم حسب الحاجة:</w:t>
      </w:r>
      <w:r>
        <w:rPr>
          <w:rFonts w:ascii="Times New Roman" w:cs="Simplified Arabic" w:eastAsia="Times New Roman" w:hAnsi="Times New Roman"/>
          <w:b w:val="false"/>
          <w:i w:val="false"/>
          <w:iCs w:val="false"/>
          <w:sz w:val="24"/>
          <w:szCs w:val="28"/>
          <w:rtl/>
          <w:lang w:val="en-US" w:bidi="ar-SA"/>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lang w:val="en-US" w:bidi="ar-S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lang w:val="en-US" w:bidi="ar-SA"/>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lang w:val="en-US" w:bidi="ar-SA"/>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lang w:val="en-US" w:bidi="ar-SA"/>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lang w:val="en-US"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2026-09-13T17:42:06.339Z</dcterms:created>
  <dcterms:modified xsi:type="dcterms:W3CDTF">2026-09-13T17:42:06.357Z</dcterms:modified>
</cp:coreProperties>
</file>

<file path=docProps/custom.xml><?xml version="1.0" encoding="utf-8"?>
<Properties xmlns="http://schemas.openxmlformats.org/officeDocument/2006/custom-properties" xmlns:vt="http://schemas.openxmlformats.org/officeDocument/2006/docPropsVTypes"/>
</file>