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נספח א': מתווה הריאיון החצי-מובנה</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כלי המחקר הוא ריאיון חצי-מובנה, ובאמצעותו נאספו הנתונים משמונה אנשי חינוך: מחנכות ומחנכי כיתה ויועצות חינוכיות בבתי ספר יסודיים ועל-יסודיים בישראל, שעבדו עם תלמידים במהלך שנת הלימודים שאחרי 7 באוקטובר 2023. המתווה נבנה בעקבות המסגרת של הוראה מודעת טראומה, ובה זיהוי תגובות דחק בכיתה, ויסות ושגרה, יחסי מורה ותלמיד, וטראומה משנית של אנשי החינוך (Lane et al., 2025). שלושת צירי הריאיון מקבילים לשלוש שאלות המחקר.</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המתווה כולל שאלת פתיחה, ארבע עשרה שאלות ממוקדות בשלושה צירים, ושאלות המשך שהמראיינת משתמשת בהן לפי הצורך. סדר השאלות גמיש. כאשר מרואיין מקדים ועונה על שאלה מאוחרת, המראיינת אינה חוזרת עליה אלא מעמיקה בה. משך ריאיון משוער: 45 עד 60 דקות. הראיונות מוקלטים באישור המרואיינים ומתומללים בתוך 48 שעות. שמות המרואיינים, בתי הספר והתלמידים המוזכרים בדבריהם מוחלפים בכינויים בשלב התמלול.</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הנחיות למראיינת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לפתוח בשיחה קצרה ולא בשאלון. הפתיח נקרא בקול, והמרואיין מאשר בעל פה שהוא מבין ומסכים.</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לשאול שאלה אחת בכל פעם. אם המרואיין שותק, להמתין. שתיקה של כמה שניות מובילה לרוב לפירוט.</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לבקש דוגמה קונקרטית לכל אמירה כללית: "מתי זה קרה לאחרונה?", "מה בדיוק אמרת?".</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לא להציע פרשנות ולא להעריך את התשובה. לא "זה נשמע כמו טראומה" אלא "ספר לי עוד על הרגע הזה".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אם המרואיין מתקשה רגשית, לעצור, להציע הפסקה, ולהזכיר שאפשר לדלג על שאלה.</w:t>
      </w:r>
    </w:p>
    <w:p>
      <w:pPr>
        <w:pStyle w:val="ListParagraph"/>
        <w:numPr>
          <w:ilvl w:val="0"/>
          <w:numId w:val="2"/>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לרשום ביומן המחקר, מיד אחרי הריאיון, את ההתרשמות מן האווירה ומן הרגעים שבהם השיחה השתנתה.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פתיח הנקרא למרואיין</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שלום ותודה שהסכמת להשתתף. המחקר עוסק בעבודה של אנשי חינוך עם תלמידים בתקופה של מצב חירום מתמשך, ובמה שעוזר או מקשה עליהם בעבודה הזאת. אין תשובות נכונות או שגויות; מה שמעניין אותי הוא הניסיון שלך והדרך שבה את או אתה רואים את הדברים. הריאיון יימשך כשעה ויוקלט, כדי שאוכל להקשיב ולא לרשום. ההקלטה תתומלל ותימחק בסיום המחקר. שמך, שם בית הספר ושמות תלמידים לא יופיעו בשום מקום. אפשר לעצור, לדלג על שאלה או להפסיק בכל שלב, ללא צורך בהסבר. יש לך שאלה לפני שנתחיל?</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פרטי רקע (נרשמים ללא פרטים מזהים)</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תפקיד (מחנך/ת כיתה או יועץ/ת), שלב חינוך (יסודי או על-יסודי), ותק בהוראה בשנים, מספר שנות עבודה בבית הספר הנוכחי, האם בית הספר או חלק מתלמידיו חוו פינוי, אזעקות תכופות או אובדן במהלך השנה.</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שאלות הריאיון</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שאלת פתיחה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לי על הדרך שלך בחינוך, ואיך נראתה בשבילך שנת הלימודים האחרונה בהשוואה לשנים שקדמו לה.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ציר א': זיהוי תגובות דחק וטראומה בכיתה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חשבי על תלמיד או תלמידה שההתנהגות שלהם השתנתה מאז תחילת המלחמה. מה ראית בפועל? תארי מקרה אחד מהתחלה ועד סוף.</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איך את מבחינה בין התנהגות שנובעת ממצוקה לבין מה שנקרא "בעיית משמעת"? מה עוזר לך להבחין, ובאילו מקרים זה נשאר לא ברור?</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תלמידים קל לפספס בכיתה בתקופה כזאת, למשל שקטים, מצטיינים או מי שנעדר הרבה? מה גורם לך לשים לב אליהם בכל זאת?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ברגע שתלמיד מתפרץ, יוצא מהכיתה או "נסגר" מולך, מה קורה לך, בגוף ובמחשבה, בשניות הראשונות?</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ציר ב': תגובה, ויסות, שגרה ויחסים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ספרי על פעם שהצלחת להרגיע תלמיד או להחזיר אותו ללמידה. מה עשית, צעד אחר צעד? ומה קרה בפעם שזה לא הצליח?</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שגרות, הרגלים או כללים קבועים בנית בכיתה השנה, ואיך התלמידים הגיבו אליהם כשהשגרה נשברה, למשל אחרי אזעקה או הודעה קשה?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איך את מתמודדת עם המתח בין דרישות ההספק, המשמעת וההנהלה לבין הצורך של תלמיד מסוים בהכלה באותו רגע?</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איך נראה הקשר שלך עם תלמיד שחווה דבר קשה השנה? מה מקרב ביניכם ומה מרחיק? האם יש משהו שאת עושה אחרת מאשר עם שאר התלמידים?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עם מי בבית הספר את עובדת יחד כשמדובר בתלמיד במצוקה, למשל יועצת, פסיכולוגית, מנהלת, הורים? תארי מקרה שבו שיתוף הפעולה הזה עבד, ומקרה שבו לא.</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ציר ג': ההשפעה על איש החינוך ודרכי ההתמודדות</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איך העבודה עם תלמידים שחוו דברים קשים משפיעה עלייך? מה את לוקחת הביתה בסוף היום?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האם היו השנה רגעים שבהם הרגשת שנגמר לך הכוח, שאת עובדת "על אוטומט", או שאת מגיבה לתלמיד בדרך שלא רצית? מה קרה אז, ומה עזר לך לצאת מזה?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מה מחזיק אותך: בעצמך, בבית, בין חברים, בחדר המורים? ומה מזה נעלם השנה?</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אילו הכשרה, ידע או ליווי קיבלת בנושא טראומה ומצבי חירום, מתי, וממי? מה היה חסר לך בפועל בכיתה?</w:t>
      </w:r>
    </w:p>
    <w:p>
      <w:pPr>
        <w:pStyle w:val="Heading3"/>
        <w:keepNext/>
        <w:bidi/>
        <w:spacing w:after="120" w:before="160" w:line="480"/>
        <w:jc w:val="right"/>
      </w:pPr>
      <w:r>
        <w:rPr>
          <w:rFonts w:ascii="Times New Roman" w:cs="David" w:eastAsia="Times New Roman" w:hAnsi="Times New Roman"/>
          <w:b/>
          <w:bCs/>
          <w:sz w:val="30"/>
          <w:szCs w:val="34"/>
          <w:rtl/>
          <w:lang w:val="en-US" w:bidi="he-IL"/>
        </w:rPr>
        <w:t xml:space="preserve">שאלת סיום</w:t>
      </w:r>
    </w:p>
    <w:p>
      <w:pPr>
        <w:pStyle w:val="ListParagraph"/>
        <w:numPr>
          <w:ilvl w:val="0"/>
          <w:numId w:val="3"/>
        </w:num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אם היית יכולה לומר משפט אחד למי שמכשיר היום מורים ויועצות, מה היית אומרת? ויש משהו שלא שאלתי וחשוב לך שיהיה במחקר?</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שאלות המשך לשימוש לפי הצורך</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"אפשר דוגמה?"; "מה בדיוק אמרת או עשית?"; "מה קרה אחר כך?"; "איך הרגשת באותו רגע?"; "מה היה קורה אילו לא היית מגיבה?"; "האם זה חזר על עצמו?"; "מה הכוונה ב...?".</w:t>
      </w: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מטרת כל שאלה והקשר לשאלות המחקר</w:t>
      </w:r>
    </w:p>
    <w:p>
      <w:pPr>
        <w:keepNext/>
        <w:bidi/>
        <w:spacing w:after="80" w:before="120" w:line="480"/>
        <w:jc w:val="center"/>
      </w:pPr>
      <w:r>
        <w:rPr>
          <w:rFonts w:ascii="Times New Roman" w:cs="David" w:eastAsia="Times New Roman" w:hAnsi="Times New Roman"/>
          <w:b/>
          <w:bCs/>
          <w:i w:val="false"/>
          <w:iCs w:val="false"/>
          <w:sz w:val="24"/>
          <w:szCs w:val="24"/>
          <w:rtl/>
          <w:lang w:val="en-US" w:bidi="he-IL"/>
        </w:rPr>
        <w:t xml:space="preserve">טבלה א'1: מטרת שאלות הריאיון וזיקתן לשאלות המחקר ולספרות</w:t>
      </w:r>
    </w:p>
    <w:tbl>
      <w:tblPr>
        <w:bidiVisual/>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68"/>
        <w:gridCol w:w="2268"/>
        <w:gridCol w:w="2268"/>
        <w:gridCol w:w="2266"/>
      </w:tblGrid>
      <w:tr>
        <w:trPr>
          <w:cantSplit/>
          <w:tblHeader/>
        </w:trPr>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מס'</w:t>
            </w:r>
          </w:p>
        </w:tc>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מטרת השאלה</w:t>
            </w:r>
          </w:p>
        </w:tc>
        <w:tc>
          <w:tcPr>
            <w:tcW w:type="dxa" w:w="2268"/>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שאלת מחקר</w:t>
            </w:r>
          </w:p>
        </w:tc>
        <w:tc>
          <w:tcPr>
            <w:tcW w:type="dxa" w:w="2266"/>
            <w:shd w:fill="D9E2F3" w:color="auto" w:val="clear"/>
            <w:tcMar>
              <w:top w:type="dxa" w:w="60"/>
              <w:left w:type="dxa" w:w="80"/>
              <w:bottom w:type="dxa" w:w="60"/>
              <w:right w:type="dxa" w:w="80"/>
            </w:tcMar>
            <w:vAlign w:val="center"/>
          </w:tcPr>
          <w:p>
            <w:pPr>
              <w:bidi/>
              <w:spacing w:after="0" w:line="276"/>
              <w:jc w:val="center"/>
            </w:pPr>
            <w:r>
              <w:rPr>
                <w:rFonts w:ascii="Times New Roman" w:cs="David" w:eastAsia="Times New Roman" w:hAnsi="Times New Roman"/>
                <w:b/>
                <w:bCs/>
                <w:sz w:val="22"/>
                <w:szCs w:val="24"/>
                <w:rtl/>
                <w:lang w:val="en-US" w:bidi="he-IL"/>
              </w:rPr>
              <w:t xml:space="preserve">בסיס בספרות</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בניית אמון וקבלת סיפור רקע מקצועי; זיהוי נקודת המוצא של המרואיין לפני השנה הנחקרת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כללי</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קבלת תיאור התנהגותי קונקרטי של תלמיד, לא הכללה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 Segal et al.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האופן שבו המרואיין מפרש התנהגות: כבחירה או כמנגנון הישרדות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4</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תגובות מופנמות, שקל להחמיץ בכיתה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לבקוביץ ואמיתי (2023); Olinover &amp; Hamama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5</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התגובה האוטומטית של המורה עצמו במפגש עם דיסרגולציה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 ו-3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 Keleynikov et al. (2022)</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6</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תיאור פרקטיקות ויסות והחזרה ללמידה, כולל כישלון</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 רוזנברג ואלקובי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7</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תפקיד השגרה והעקביות כמקור ביטחון, ומה קורה כשהיא נשברת</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קפלן ואחרים (2025); רייכל ועובד (2024)</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8</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חשיפת המתח בין דרישות מערכתיות לבין הכלה, ודרכי ההכרעה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Halfon &amp; Romi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9</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יחסי מורה ותלמיד כבסיס בטוח</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יוקל ורומי (2024); Shur-Kraspin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10</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מיפוי שיתוף הפעולה המערכתי סביב תלמיד במצוקה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2</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אלון ואחרים (2025); פינטו וטטר (2023)</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11</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סימני טראומה משנית ותשישות חמלה</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Lassri (2023); Kaplan et al.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12</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זיהוי רגעי שחיקה ואובדן ויסות של המורה, ומה מסייע לחזור</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 Avissar et al. (2026)</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13</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מיפוי משאבי טיפול עצמי בארבעה מעגלים: פרטי, אישי, חברתי ומקצועי</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 Shinan-Altman &amp; Levkovich (2022)</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14</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בחינת ההכשרה והליווי בנושא טראומה ופערים בהם</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3</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Avissar et al. (2026); נסים (2025)</w:t>
            </w:r>
          </w:p>
        </w:tc>
      </w:tr>
      <w:tr>
        <w:trPr>
          <w:cantSplit/>
          <w:tblHeader w:val="false"/>
        </w:trPr>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15</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סגירה, מתן מקום להמלצה יישומית ולנושאים שלא נשאלו</w:t>
            </w:r>
          </w:p>
        </w:tc>
        <w:tc>
          <w:tcPr>
            <w:tcW w:type="dxa" w:w="2268"/>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כללי</w:t>
            </w:r>
          </w:p>
        </w:tc>
        <w:tc>
          <w:tcPr>
            <w:tcW w:type="dxa" w:w="2266"/>
            <w:tcMar>
              <w:top w:type="dxa" w:w="60"/>
              <w:left w:type="dxa" w:w="80"/>
              <w:bottom w:type="dxa" w:w="60"/>
              <w:right w:type="dxa" w:w="80"/>
            </w:tcMar>
            <w:vAlign w:val="center"/>
          </w:tcPr>
          <w:p>
            <w:pPr>
              <w:bidi/>
              <w:spacing w:after="0" w:line="276"/>
              <w:jc w:val="right"/>
            </w:pPr>
            <w:r>
              <w:rPr>
                <w:rFonts w:ascii="Times New Roman" w:cs="David" w:eastAsia="Times New Roman" w:hAnsi="Times New Roman"/>
                <w:b w:val="false"/>
                <w:sz w:val="22"/>
                <w:szCs w:val="24"/>
                <w:rtl/>
                <w:lang w:val="en-US" w:bidi="he-IL"/>
              </w:rPr>
              <w:t xml:space="preserve">Lane et al. (2025)</w:t>
            </w:r>
          </w:p>
        </w:tc>
      </w:tr>
    </w:tbl>
    <w:p>
      <w:pPr>
        <w:bidi/>
        <w:spacing w:after="120" w:before="0" w:line="480"/>
        <w:jc w:val="both"/>
      </w:pPr>
    </w:p>
    <w:p>
      <w:pPr>
        <w:pStyle w:val="Heading2"/>
        <w:keepNext/>
        <w:bidi/>
        <w:spacing w:after="120" w:before="200" w:line="480"/>
        <w:jc w:val="right"/>
      </w:pPr>
      <w:r>
        <w:rPr>
          <w:rFonts w:ascii="Times New Roman" w:cs="David" w:eastAsia="Times New Roman" w:hAnsi="Times New Roman"/>
          <w:b/>
          <w:bCs/>
          <w:sz w:val="32"/>
          <w:szCs w:val="36"/>
          <w:rtl/>
          <w:lang w:val="en-US" w:bidi="he-IL"/>
        </w:rPr>
        <w:t xml:space="preserve">התאמת המתווה למערך של שמונה ראיונות</w:t>
      </w:r>
    </w:p>
    <w:p>
      <w:pPr>
        <w:bidi/>
        <w:spacing w:after="120" w:before="0" w:line="480"/>
        <w:jc w:val="both"/>
      </w:pPr>
      <w:r>
        <w:rPr>
          <w:rFonts w:ascii="Times New Roman" w:cs="David" w:eastAsia="Times New Roman" w:hAnsi="Times New Roman"/>
          <w:b w:val="false"/>
          <w:i w:val="false"/>
          <w:iCs w:val="false"/>
          <w:sz w:val="24"/>
          <w:szCs w:val="24"/>
          <w:rtl/>
          <w:lang w:val="en-US" w:bidi="he-IL"/>
        </w:rPr>
        <w:t xml:space="preserve">שמונה ראיונות הם מדגם מקובל במחקר איכותני פנומנולוגי, ובלבד שהמשתתפים נבחרים בכוונה כך שייצגו שוני בתפקיד, בשלב החינוך ובמידת החשיפה של בית הספר לאירועי המלחמה. במחקר זה נבחרו חמישה מחנכי כיתה ושלוש יועצות חינוכיות, מארבעה בתי ספר, מהם שניים שקלטו תלמידים מפונים. הריאיון הראשון שימש גם ריאיון פיילוט, ובעקבותיו קוצרה שאלה 4 ונוספה שאלה 8. לאחר הריאיון השישי לא עלו תמות חדשות, ושני הראיונות האחרונים שימשו לבדיקת רוויה.</w:t>
      </w:r>
    </w:p>
    <w:p>
      <w:r>
        <w:br w:type="page"/>
      </w:r>
    </w:p>
    <w:p>
      <w:pPr>
        <w:pStyle w:val="Heading1"/>
        <w:keepNext/>
        <w:bidi/>
        <w:spacing w:after="120" w:before="240" w:line="480"/>
        <w:jc w:val="center"/>
      </w:pPr>
      <w:r>
        <w:rPr>
          <w:rFonts w:ascii="Times New Roman" w:cs="David" w:eastAsia="Times New Roman" w:hAnsi="Times New Roman"/>
          <w:b/>
          <w:bCs/>
          <w:sz w:val="36"/>
          <w:szCs w:val="40"/>
          <w:rtl/>
          <w:lang w:val="en-US" w:bidi="he-IL"/>
        </w:rPr>
        <w:t xml:space="preserve">מקורות שאוזכרו בנספח</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אלון, ר', רוזנטל, ר', רובין, א', חן-גמליאל, ר' וטרכטינגוט, י' (2025). דחק של יועצים חינוכיים בימי מלחמה: תרומתם של מסוגלות עצמית תעסוקתית, הון פסיכולוגי ותמיכה חברתית. זמן חינוך, 10, 145 ואילך.</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יוקל, כ' ורומי, ש' (2024). ניתוח משווה של איכות היחסים בין מורים ותלמידים במצבי סיכון ובין מורים ותלמידים שאינם במצבי סיכון. מפגש לעבודה חינוכית-סוציאלית, לב(57).</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לבקוביץ, ע' ואמיתי, ק' (2023). "לכאוב כדי לחיות": חוויות של יועצים חינוכיים עם מתבגרים שהתנסו בפגיעה עצמית. הייעוץ החינוכי, כד.</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נסים, מ' (2025). חינוך מיוחד בזמן המלחמה בישראל: תפיסות מחנכות בחינוך המיוחד בנוגע להשפעות המלחמה ולצורכי התמיכה. במעגלי חינוך: מחקר, עיון ויצירה, 14.</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פינטו, ה' וטטר, מ' (2023). תפיסותיהן של יועצות חינוכיות את הייעוץ החינוכי בימי קורונה: מפגשים בין העמימות המקצועית ובין עמימות המציאות. הייעוץ החינוכי, כד.</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קפלן, ח', כהן, ה', כלפון, ע', יערי, ג' וגלעד, ל' (2025). "לייצר משהו חדש בזמן שאת בעצמך חדשה": מנהלות חדשות בתקופת מלחמה. דפים, 82.</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רוזנברג, ש' ואלקובי, א' (2026). מהכשרה ליישום: דרכי התמודדות של צוותי החינוך בשדרות באמצעות מיומנויות חברתיות-רגשיות עם פרוץ מלחמת חרבות ברזל. חמדעת: כתב עת רב-תחומי, יט.</w:t>
      </w:r>
    </w:p>
    <w:p>
      <w:pPr>
        <w:bidi/>
        <w:spacing w:after="160" w:before="0" w:line="480"/>
        <w:ind w:left="720" w:hanging="720"/>
        <w:jc w:val="both"/>
      </w:pPr>
      <w:r>
        <w:rPr>
          <w:rFonts w:ascii="Times New Roman" w:cs="David" w:eastAsia="Times New Roman" w:hAnsi="Times New Roman"/>
          <w:b w:val="false"/>
          <w:i w:val="false"/>
          <w:iCs w:val="false"/>
          <w:sz w:val="24"/>
          <w:szCs w:val="24"/>
          <w:rtl/>
          <w:lang w:val="en-US" w:bidi="he-IL"/>
        </w:rPr>
        <w:t xml:space="preserve">רייכל, נ' ועובד, א' (2024). משבר הקורונה: אתגרים, דרכי התמודדות והשלכות על תפיסת החינוך במשקפיים של מנהלות חטיבות ביניים. עיונים בחינוך, 24, 461-476.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Avissar, N., Ben-Amar Shechtman, D., &amp; Levi-Keren, M. (2026). Teaching through trauma: Israeli teacher education in crisis. Frontiers in Education, 11, 1879346. https://doi.org/10.3389/feduc.2026.1879346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Halfon, E., &amp; Romi, S. (2026). Digital anchors: The homeroom teacher's role in active conflict zones. Frontiers in Education, 11, 1890046. https://doi.org/10.3389/feduc.2026.1890046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Kaplan, N., Zerach, G., &amp; Levi-Belz, Y. (2025). The contribution of moral injury to Israeli teachers' mental health difficulties: The mediating role of shame and guilt. Frontiers in Psychiatry, 16, 1634795. https://doi.org/10.3389/fpsyt.2025.1634795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Keleynikov, M., Benatov, J., &amp; Berger, R. (2022). Preschool teachers' psychological distress and work engagement during COVID-19 outbreak: The protective role of mindfulness and emotion regulation. International Journal of Environmental Research and Public Health, 19(5), 2645. https://doi.org/10.3390/ijerph19052645</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Lane, J., Chow, R., Hambrick, E., &amp; Earl, R. (2025). Becoming trauma responsive. New Prairie Press. https://newprairiepress.org/ebooks/56/</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Lassri, D. (2023). Psychological distress among teaching staff during the COVID-19 pandemic: A transdiagnostic perspective on profiles of risk and resilience. Teaching and Teacher Education, 128, 104143. https://doi.org/10.1016/j.tate.2023.104143</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Olinover, M., &amp; Hamama, L. (2025). Adolescents during wartime: Vulnerability-based profiles. Journal of Research on Adolescence, 35, e70041. https://doi.org/10.1111/jora.70041</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Segal, O., Hevron, H., &amp; Weinbach, N. (2026). Same war, different homes: Mental health outcomes of displaced versus non-displaced adolescents during war. European Journal of Psychotraumatology, 17(1), 2685370. https://doi.org/10.1080/20008066.2026.2685370</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Shinan-Altman, S., &amp; Levkovich, I. (2022). Are personal resources and perceived stress associated with psychological outcomes among Israeli teachers during the third COVID-19 lockdown? International Journal of Environmental Research and Public Health, 19(9), 5634. https://doi.org/10.3390/ijerph19095634</w:t>
      </w:r>
    </w:p>
    <w:p>
      <w:pPr>
        <w:bidi w:val="false"/>
        <w:spacing w:after="160" w:before="0" w:line="480"/>
        <w:ind w:left="720" w:hanging="720"/>
        <w:jc w:val="left"/>
      </w:pPr>
      <w:r>
        <w:rPr>
          <w:rFonts w:ascii="Times New Roman" w:cs="David" w:eastAsia="Times New Roman" w:hAnsi="Times New Roman"/>
          <w:b w:val="false"/>
          <w:i w:val="false"/>
          <w:iCs w:val="false"/>
          <w:sz w:val="24"/>
          <w:szCs w:val="24"/>
          <w:rtl w:val="false"/>
          <w:lang w:val="en-US" w:bidi="he-IL"/>
        </w:rPr>
        <w:t xml:space="preserve">Shur-Kraspin, L., Slone, M., &amp; Kanat-Maymon, Y. (2025). Youth exposed to armed conflict: The homeroom teacher as a protective agent promoting student resilience. International Journal of Environmental Research and Public Health, 22(8), 1233. https://doi.org/10.3390/ijerph22081233</w:t>
      </w:r>
    </w:p>
    <w:sectPr>
      <w:footerReference w:type="default" r:id="rId7"/>
      <w:pgSz w:w="11906" w:h="16838" w:orient="portrait"/>
      <w:pgMar w:top="1418" w:right="1418" w:bottom="1418" w:left="1418"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Times New Roman" w:hAnsi="Times New Roman"/>
        <w:sz w:val="24"/>
        <w:szCs w:val="24"/>
        <w:lang w:val="en-US" w:bidi="he-I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left="720" w:hanging="360"/>
      </w:pPr>
    </w:lvl>
  </w:abstractNum>
  <w:abstractNum w:abstractNumId="3" w15:restartNumberingAfterBreak="0">
    <w:multiLevelType w:val="hybridMultilevel"/>
    <w:lvl w:ilvl="0" w15:tentative="1">
      <w:start w:val="1"/>
      <w:numFmt w:val="decimal"/>
      <w:lvlText w:val="%1."/>
      <w:lvlJc w:val="righ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Times New Roman" w:hAnsi="Times New Roman"/>
        <w:sz w:val="24"/>
        <w:szCs w:val="24"/>
        <w:rtl/>
        <w:lang w:val="en-US" w:bidi="he-IL"/>
      </w:rPr>
    </w:rPrDefault>
    <w:pPrDefault>
      <w:pPr>
        <w:spacing w:after="120" w:line="4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Times New Roman" w:cs="David" w:eastAsia="Times New Roman" w:hAnsi="Times New Roman"/>
      <w:b/>
      <w:bCs/>
      <w:color w:val="000000"/>
      <w:sz w:val="36"/>
      <w:szCs w:val="36"/>
      <w:lang w:val="en-US" w:bidi="he-IL"/>
    </w:rPr>
  </w:style>
  <w:style w:type="paragraph" w:styleId="Heading2">
    <w:name w:val="Heading 2"/>
    <w:basedOn w:val="Normal"/>
    <w:next w:val="Normal"/>
    <w:qFormat/>
    <w:pPr>
      <w:spacing w:after="120" w:before="200"/>
      <w:outlineLvl w:val="1"/>
    </w:pPr>
    <w:rPr>
      <w:rFonts w:ascii="Times New Roman" w:cs="David" w:eastAsia="Times New Roman" w:hAnsi="Times New Roman"/>
      <w:b/>
      <w:bCs/>
      <w:color w:val="000000"/>
      <w:sz w:val="32"/>
      <w:szCs w:val="32"/>
      <w:lang w:val="en-US" w:bidi="he-IL"/>
    </w:rPr>
  </w:style>
  <w:style w:type="paragraph" w:styleId="Heading3">
    <w:name w:val="Heading 3"/>
    <w:basedOn w:val="Normal"/>
    <w:next w:val="Normal"/>
    <w:qFormat/>
    <w:pPr>
      <w:spacing w:after="120" w:before="160"/>
      <w:outlineLvl w:val="2"/>
    </w:pPr>
    <w:rPr>
      <w:rFonts w:ascii="Times New Roman" w:cs="David" w:eastAsia="Times New Roman" w:hAnsi="Times New Roman"/>
      <w:b/>
      <w:bCs/>
      <w:color w:val="000000"/>
      <w:sz w:val="30"/>
      <w:szCs w:val="30"/>
      <w:lang w:val="en-US" w:bidi="he-IL"/>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רשימת מקורות שפיטים: הוראה מודעת טראומה בישראל (2021–2026)</dc:title>
  <dc:creator>Student</dc:creator>
  <cp:lastModifiedBy>Un-named</cp:lastModifiedBy>
  <cp:revision>1</cp:revision>
  <dcterms:created xsi:type="dcterms:W3CDTF">2026-09-13T17:42:08.970Z</dcterms:created>
  <dcterms:modified xsi:type="dcterms:W3CDTF">2026-09-13T17:42:08.970Z</dcterms:modified>
</cp:coreProperties>
</file>

<file path=docProps/custom.xml><?xml version="1.0" encoding="utf-8"?>
<Properties xmlns="http://schemas.openxmlformats.org/officeDocument/2006/custom-properties" xmlns:vt="http://schemas.openxmlformats.org/officeDocument/2006/docPropsVTypes"/>
</file>