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300" w:before="0" w:line="360"/>
        <w:jc w:val="center"/>
      </w:pPr>
      <w:r>
        <w:rPr>
          <w:rFonts w:ascii="Times New Roman" w:cs="David" w:eastAsia="Times New Roman" w:hAnsi="Times New Roman"/>
          <w:b/>
          <w:bCs/>
          <w:sz w:val="36"/>
          <w:szCs w:val="40"/>
          <w:rtl/>
          <w:lang w:val="en-US" w:bidi="he-IL"/>
        </w:rPr>
        <w:t xml:space="preserve">סקירת ספרות: הוראה מודעת טראומה בישראל, 2021–2026</w:t>
      </w:r>
    </w:p>
    <w:p>
      <w:pPr>
        <w:bidi/>
        <w:spacing w:after="200" w:before="0" w:line="360"/>
        <w:jc w:val="center"/>
      </w:pPr>
      <w:r>
        <w:rPr>
          <w:rFonts w:ascii="Times New Roman" w:cs="David" w:eastAsia="Times New Roman" w:hAnsi="Times New Roman"/>
          <w:b w:val="false"/>
          <w:sz w:val="26"/>
          <w:szCs w:val="30"/>
          <w:rtl/>
          <w:lang w:val="en-US" w:bidi="he-IL"/>
        </w:rPr>
        <w:t xml:space="preserve">סינתזה של 21 מאמרים שפיטים לאור הספר Becoming Trauma Responsive (Lane, Chow, Hambrick &amp; Earl, 2025)</w:t>
      </w:r>
    </w:p>
    <w:p>
      <w:pPr>
        <w:bidi/>
        <w:spacing w:after="200" w:before="0" w:line="360"/>
        <w:jc w:val="center"/>
      </w:pPr>
      <w:r>
        <w:rPr>
          <w:rFonts w:ascii="Times New Roman" w:cs="David" w:eastAsia="Times New Roman" w:hAnsi="Times New Roman"/>
          <w:b w:val="false"/>
          <w:sz w:val="26"/>
          <w:szCs w:val="30"/>
          <w:rtl/>
          <w:lang w:val="en-US" w:bidi="he-IL"/>
        </w:rPr>
        <w:t xml:space="preserve">פרק סקירת ספרות לעבודה אקדמית, כולל רשימת מקורות בכללי APA</w:t>
      </w:r>
    </w:p>
    <w:p>
      <w:pPr>
        <w:bidi/>
        <w:spacing w:after="200" w:before="0" w:line="360"/>
        <w:jc w:val="center"/>
      </w:pPr>
      <w:r>
        <w:rPr>
          <w:rFonts w:ascii="Times New Roman" w:cs="David" w:eastAsia="Times New Roman" w:hAnsi="Times New Roman"/>
          <w:b w:val="false"/>
          <w:sz w:val="24"/>
          <w:szCs w:val="28"/>
          <w:rtl/>
          <w:lang w:val="en-US" w:bidi="he-IL"/>
        </w:rPr>
        <w:t xml:space="preserve">נערך: ספטמבר 2026</w:t>
      </w:r>
    </w:p>
    <w:p>
      <w:r>
        <w:br w:type="page"/>
      </w:r>
    </w:p>
    <w:p>
      <w:pPr>
        <w:sectPr>
          <w:pgSz w:w="11906" w:h="16838" w:orient="portrait"/>
          <w:pgMar w:top="1440" w:right="1440" w:bottom="1440" w:left="1440" w:header="708" w:footer="708" w:gutter="0"/>
          <w:pgNumType/>
          <w:titlePg/>
          <w:docGrid w:linePitch="360"/>
        </w:sectPr>
      </w:pPr>
    </w:p>
    <w:p>
      <w:pPr>
        <w:pStyle w:val="Heading1"/>
        <w:keepNext/>
        <w:bidi/>
        <w:spacing w:after="120" w:before="240" w:line="360"/>
        <w:jc w:val="center"/>
      </w:pPr>
      <w:r>
        <w:rPr>
          <w:rFonts w:ascii="Times New Roman" w:cs="David" w:eastAsia="Times New Roman" w:hAnsi="Times New Roman"/>
          <w:b/>
          <w:bCs/>
          <w:sz w:val="36"/>
          <w:szCs w:val="40"/>
          <w:rtl/>
          <w:lang w:val="en-US" w:bidi="he-IL"/>
        </w:rPr>
        <w:t xml:space="preserve">מבוא</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טראומה בקרב ילדים ובני נוער אינה עניין של אירוע בלבד, אלא של חוויה והשפעה. על פי הגדרת המינהל האמריקני לשירותי בריאות הנפש (SAMHSA), המובאת בספר Becoming Trauma Responsive (Lane et al., 2025), אירוע נחשב טראומטי כאשר הוא נחווה כאיום על החיים או כאובדן שליטה, וכאשר השפעותיו על התפקוד היום-יומי מתמשכות. הספר מציע לאנשי חינוך, ליועצים ולמטפלים, המכונים בו "עוזרים", מסגרת מעשית להבנת המוח בעת איום, לזיהוי תגובות הילחם-ברח-קפא בכיתה, לבניית עקביות ורוגע, לטיפוח יחסי התקשרות ולשמירה על עצמם מפני טראומה משנית. סקירה זו בוחנת כיצד המחקר הישראלי מהשנים 2021–2026 מאיר את מרכיבי המסגרת הזאת, ומהם הפערים שנותרו.</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הסקירה מאורגנת בחמישה חלקים הנגזרים מפרקי הספר: טראומה קולקטיבית וילדים ובני נוער בישראל; התנהגויות מוחצנות ומופנמות כביטוי לדיסרגולציה; המורה והיועצת כדמויות התקשרות; ויסות עצמי של אנשי החינוך והתשתית הארגונית התומכת בו; וטראומה משנית, שחיקה וחמלה עצמית. החלק האחרון מסכם את המסקנות ומצביע על פערים במחקר. הסקירה נשענת על 12 מאמרים בעברית ו-9 מאמרים באנגלית, כולם שפיטים ובגישה פתוחה, שנבחרו על פי הקריטריונים המפורטים ברשימת המקורות הנלווית.</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טראומה קולקטיבית וילדים ובני נוער בישראל</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ההקשר הישראלי של השנים האחרונות מספק, למרבה הצער, שדה מחקר עשיר לחקר טראומה בקרב ילדים. מגפת הקורונה, ואחריה מתקפת 7 באוקטובר 2023 ומלחמת "חרבות ברזל", יצרו מציאות של טראומה קולקטיבית מתמשכת שבה בתי הספר נדרשו לתפקד בו-זמנית כמרחב למידה וכמרחב של ביטחון וויסות. רפאלי, סולד ואהרונסון-דניאל (Refaeli et al., 2025), שסקרו 744 מתבגרים בגילאי 14–18 בחודשים אוקטובר–דצמבר 2024, מצאו שכיחות גבוהה של הפרעת דחק פוסט-טראומטית משוערת, וזיהו חוסן אישי ותמיכה חברתית כגורמים מגנים. אולינובר וחממה (Olinover &amp; Hamama, 2025) הוסיפו לכך תמונה מבחינה: בניתוח פרופילים סמויים של 305 מתבגרים זוהו שלוש קבוצות פגיעות, נמוכה, בינונית וגבוהה, כאשר התמיכה החברתית הנתפסת הייתה המשתנה שהבחין ביותר ביניהן, וגיל צעיר ומרחק מגזרת הגבול הפחיתו את הפגיעות.</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שני המחקרים הללו מאששים את הטענה המרכזית בפרק הראשון של הספר, שלפיה תגובות לטראומה שונות מאוד בין ילדים, ושמערכות יחסים תומכות הן הגורם המכריע בהתמודדות. הם גם מספקים בסיס אמפירי לגישה מדורגת: לא כל התלמידים זקוקים לאותו מענה, ואיתור הפרופיל הפגיע מאפשר מיקוד משאבים.</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בתוך בית הספר, המלחמה יצרה אוכלוסיות של תלמידים בעלי צרכים ייחודיים. זכאי משיח (2026) תיאר, מנקודת מבטם של צוותים חינוכיים, את חוויית קליטתם של תלמידים שפונו מיישובי הדרום והצפון: תלמידים "לא פה ולא שם", המתקשים להשתלב רגשית וחברתית בכיתה קולטת שגם היא מתמודדת עם המצב. נסים (2025) בחנה את החינוך המיוחד בזמן המלחמה ומצאה שמחנכות דיווחו על עלייה בחרדה ובהתנהגויות מאתגרות אצל תלמידיהן, לצד היעדרות ממושכת של הורים בשירות מילואים ופינוי מהבית. בן-אשר, שלו ובן-עטר (2025) התמקדו בממד אחר: האופן שבו ילדים נחשפים למידע על האירועים, ובכלל זה סרטונים המופצים בין חברי כיתה, והצורך של הורים וצוותי חינוך לתווך להם מציאות מורכבת באופן מותאם גיל. מחקרן, המשלב נתונים כמותיים וממצאים איכותניים, מציע המלצות לצוותי בית הספר על תיווך מידע מהימן כדרך למנוע פגיעה בתפקוד ובהתפתחות.</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התנהגויות מוחצנות ומופנמות כביטוי לדיסרגולציה</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הפרק השלישי בספר מבחין בין התנהגויות מוחצנות, כתוקפנות והתפרצויות, לבין התנהגויות מופנמות, כנסיגה, פגיעה עצמית וקשיי ריכוז, ורואה בשתיהן ביטוי לניסיון של הילד להשיג תחושת ביטחון. המחקר הישראלי תומך בהבחנה זו ומוסיף לה את נקודת המבט של אנשי המקצוע. לבקוביץ ואמיתי (2023) חקרו את חוויותיהם של יועצים חינוכיים בליווי מתבגרים שפגעו בעצמם, דוגמה מובהקת להתנהגות מופנמת. היועצים תיארו חשש מפני יעילות תגובתם ומחסור בהכשרה, במשאבים ובהנחיות ברורות, ממצא המדגיש שגם אנשי המקצוע הקרובים ביותר לתלמיד זקוקים להדרכה ולתמיכה.</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קיים, לב-ארי ועדיני (Kaim et al., 2023) בחנו את המצוקה בקרב תלמידי תיכון, הורים, מורים ומנהלים לאחר יותר משנתיים של מגפה, ומצאו שהלמידה מרחוק פגעה בתקשורת ובתפקוד הפסיכו-חברתי, ושהמצוקה נותרה גבוהה במיוחד בקרב התלמידים. ממצא זה מזכיר שגם היעדר קשר, ולא רק אירוע חד, יכול לערער את תחושת הביטחון של ילדים, ברוח דבריו של הספר על "הדברים הטובים שלא קרו". ממצאיה של נסים (2025) על עלייה בהתנהגויות מאתגרות בחינוך המיוחד בזמן המלחמה משלימים את התמונה ומראים שהדיסרגולציה מתעצמת בקרב תלמידים שכבר מלכתחילה מתקשים בוויסות.</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המורה והיועצת כדמויות התקשרות</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פרק 5 בספר מציב את מערכות היחסים במרכז: "אנשים, לא תוכניות, משנים אנשים". המחקר הישראלי מספק לטענה זו תימוכין אמפיריים חזקים. יוקל ורומי (2024) השוו את איכות היחסים מורה–תלמיד בקרב תלמידים במצבי סיכון לבין תלמידים שאינם בסיכון, ומצאו שתלמידים בסיכון זקוקים רגשית לקשר משמעותי עם מוריהם יותר מעמיתיהם. המורה, במונחי תיאוריית ההתקשרות, משמש להם "בסיס בטוח" שאין לו תחליף.</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שור-קרספין, סלון וקנת-מימון (Shur-Kraspin et al., 2025) הרחיבו את הממצא הזה לרמת המערכת. במחקר רב-רמתי שכלל 1,260 תלמידים ו-62 מחנכים בכיתות ח–יא, נמצא קשר חיובי בין חשיפת תלמידים לעימות מזוין לבין תסמינים פסיכיאטריים, אך שביעות הרצון של המחנך מחייו ותחושת המסוגלות שלו בבית הספר מיתנו את הקשר. במילים אחרות, רווחתו של המחנך היא גורם מגן עבור תלמידיו. ממצא זה קושר במישרין בין פרק 5 לפרק 7 בספר: הטיפול העצמי של המורה אינו מותרות אלא תנאי ליכולתו להגן על תלמידיו.</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בזמן המלחמה, בניית יחסים ושגרה הפכה למשימת הניהול המרכזית. קפלן, כהן, כלפון, יערי וגלעד (2025) עקבו אחר מנהלות שנכנסו לתפקידן עם פרוץ המלחמה ותיארו מסלול של משבר ואובדן שליטה, נקודת מפנה של גילוי כוחות, וגיבוש פרקטיקות: תמיכה בשייכות ובחוסן הצוות, תמיכה רגשית-חברתית בתלמידים ובניית שגרות חדשות התומכות בחזרה ללמידה. פרקטיקות אלה מקבילות כמעט אחת לאחת לעקרונות "היה עקבי" ו"בנה רוגע" שבפרק 4 בספר. זכאי משיח (2026) הראה שגם קליטת תלמידים מפונים תלויה בעיקר באיכות הקשר שבונה הצוות עם התלמיד, עם ילדי הכיתה ועם הוריהם.</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ויסות עצמי של אנשי החינוך ותשתית ארגונית תומכת</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הספר טוען ש"מוח לחוץ אינו יכול ללמד", ומקדיש את פרק 4 לוויסות העצמי של המורה. קטקו-אילי, כהן ומיכאלי (2025), שראיינו 24 מורות ומורים בהקשר של 7 באוקטובר והמלחמה, מצאו שהעיסוק בנושאים טעונים בכיתה מעורר אצל המורים רגשות מקדמים ומעכבים כאחד, והציעו להרחיב את מודל הלמידה החברתית-רגשית (SEL) למודל SPEL, המשלב ידע וחשיבה ביקורתית עם ביטוי רגשי אותנטי. הצעתם משקפת הכרה בכך שוויסות רגשי של המורה בעת משבר אינו רק דיכוי רגש אלא עיבוד מודע שלו.</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קלייניקוב, בנאטוב וברגר (Keleynikov et al., 2022) סיפקו עדות מעין-ניסויית לתועלת של הכשרה בוויסות: גננות שהשתתפו בתוכנית קשיבות וחמלה (Call2Care-Israel for Teachers) חצי שנה לפני פרוץ המגפה דיווחו על מצוקה נמוכה יותר, על שימוש רב יותר באסטרטגיות ויסות מסתגלות ועל מעורבות גבוהה יותר בעבודה מאשר עמיתותיהן. ויצמן בן-דוד, הייזמן, חנוכה ושכטר (2026) הראו שגם תשתית ארגונית יכולה לטפח חוסן: מחנכות כיתה, בעיקר מיישובי עוטף עזה, שהשתתפו ב"חממות" של קהילות מקצועיות לומדות מבוססות פדגוגיית חוסן, הציגו עלייה מובהקת ברמת החוסן, ותפיסת תפקידן התפתחה מתפיסה רגשית-חברתית לתפיסה הוליסטית-אקולוגית המדגישה יחסים בין-אישיים, חברתיים וקהילתיים.</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תפקיד היועצת החינוכית במערך זה נבחן בשני מחקרים. פינטו וטטר (2023) תיארו כיצד יועצות ניווטו בתקופת הקורונה בין העמימות המובנית של תפקידן לבין עמימות המציאות, כשהן נעות בין תמיכה בצוות לתמיכה בתלמידים. אלון, רובין ורוזנטל (2025) מצאו, במדגם של 181 יועצות ויועצים בזמן המלחמה, שההון הפסיכולוגי (תקווה, מסוגלות, חוסן ואופטימיות), התמיכה החברתית והרווחה הנפשית ניבאו את המסוגלות העצמית התעסוקתית של היועצים. שני המחקרים מצביעים על היועצת כצומת שבו נפגשים ויסות המערכת וויסות הפרט, וממילא כמי שזקוקה בעצמה לתמיכה.</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טראומה משנית, שחיקה וחמלה עצמית</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פרקים 6 ו-7 בספר עוסקים במחיר שמשלמים ה"עוזרים": טראומה משנית, תשישות חמלה ושחיקה, ובדרכים לשמור על "הניצוץ" באמצעות חמלה עצמית וטיפול עצמי. זהו התחום שבו המחקר הישראלי העדכני עשיר במיוחד. אביסר, בן-אמר שכטמן ולוי-קרן (Avissar et al., 2026) סקרו 646 סטודנטים להוראה, מורים בפועל ואנשי סגל במכללה לחינוך ומצאו שכ-30% מהם עמדו בקריטריונים של הפרעת דחק פוסט-טראומטית משוערת וכשליש דיווחו על דיכאון חמור. הם טבעו את "פרדוקס המורה כניצול": מי שאמור להוות עוגן לתלמידים נושא בעצמו את הטראומה. קפלן, זרח ולוי-בלז (Kaplan et al., 2025) הוסיפו ממד של פגיעה מוסרית: חשיפה של מורים לאירועים שפגעו בערכיהם ניבאה דיכאון, חרדה, שחיקה וכוונה לעזוב את ההוראה, כאשר בושה ואשמה תיווכו את הקשר.</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לסרי (Lassri, 2023) הציעה מסגרת טרנס-דיאגנוסטית להבנת ההבדלים בין אנשי חינוך. בניתוח פרופילים של 350 אנשי צוות הוראה זוהו פרופיל "סיכון" (55%) ופרופיל "חוסן" (45%), הנבדלים במנטליזציה, בחמלה עצמית, בביקורת עצמית, בהיסטוריית טראומה, בתמיכה חברתית ובהכשרה ייעודית בטראומה; הפרופילים נבדלו גם בתשישות חמלה, בשחיקה ובטראומה משנית. ממצא זה מאשש את המסר של פרק 6 בספר, שחמלה עצמית אינה רכות אלא משאב מגן, ומצביע על הכשרה בטראומה כגורם חוסן שניתן לטפח.</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מחקרים מתקופת הקורונה מציעים קו בסיס. שינן-אלטמן ולבקוביץ (Shinan-Altman &amp; Levkovich, 2022) מצאו בקרב 208 מורים בסגר השלישי קשרים מובהקים בין לחץ נתפס לבין חוסן, דיכאון ובדידות, ותחושת שליטה נקשרה לתמיכה חברתית נתפסת. זבידאת, דלאשה וח'ליל (2022) בחנו חוסן אישי בקרב 298 מורים מתחילים ומתמחים מהחברה הערבית ומצאו חוסן גבוה יותר אצל מורים מתחילים לעומת מתמחים וקשר חיובי בין ותק לחוסן, ממצא המדגיש את פגיעותם המיוחדת של הנכנסים למקצוע. אלסייד וליטבק-הירש (2025) הוסיפו מבט על קבוצה ייחודית: מורות ערביות המלמדות בבתי ספר יהודיים לאחר 7 באוקטובר, שחוו תגובות מורכבות מצד סביבתן, ושעבורן תמיכת צוות בית הספר וההנהלה הייתה משאב ההתמודדות המרכזי; אצל חלקן המשבר אף חיזק את תחושת השליחות. שלושת המחקרים תומכים במודל ארבעת מעגלי הטיפול העצמי שבפרק 7 בספר, הפרטי, האישי, החברתי והמקצועי, ומדגישים במיוחד את המעגל המקצועי: תמיכת עמיתים והנהלה.</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סיכום ופערים במחקר</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המחקר הישראלי מהשנים 2021–2026 מאשש את שלושת עמודי התווך של הגישה המודעת לטראומה כפי שהיא מוצגת בספר. ראשית, טראומה בקרב תלמידים היא שכיחה ומגוונת בביטוייה, ותמיכה חברתית ויחסים משמעותיים הם הגורם המגן העקבי ביותר (Refaeli et al., 2025; Olinover &amp; Hamama, 2025; יוקל ורומי, 2024). שנית, רווחתו של המורה היא גורם מגן עבור תלמידיו, ולכן ויסות עצמי, הכשרה וקהילות תומכות הם חלק מהמענה לתלמידים ולא נספח לו (Shur-Kraspin et al., 2025; Keleynikov et al., 2022; ויצמן בן-דוד ואח', 2026). שלישית, אנשי החינוך בישראל נושאים בעצמם עומס טראומטי כבד, וחמלה עצמית, תמיכת עמיתים והכשרה ייעודית מבחינות בין פרופיל חוסן לפרופיל סיכון (Avissar et al., 2026; Kaplan et al., 2025; Lassri, 2023).</w:t>
      </w:r>
    </w:p>
    <w:p>
      <w:pPr>
        <w:bidi/>
        <w:spacing w:after="120" w:before="0" w:line="360"/>
        <w:jc w:val="both"/>
      </w:pPr>
      <w:r>
        <w:rPr>
          <w:rFonts w:ascii="Times New Roman" w:cs="David" w:eastAsia="Times New Roman" w:hAnsi="Times New Roman"/>
          <w:b w:val="false"/>
          <w:i w:val="false"/>
          <w:iCs w:val="false"/>
          <w:sz w:val="28"/>
          <w:szCs w:val="26"/>
          <w:rtl/>
          <w:lang w:val="en-US" w:bidi="he-IL"/>
        </w:rPr>
        <w:t xml:space="preserve">לצד זאת נותרו פערים. ראשית, לא אותר מחקר שפיט בעברית הבוחן במישרין יישום של תוכנית "הוראה מודעת טראומה" בבית ספר ישראלי ומודד את השפעתה על תלמידים; המונח מופיע בעיקר במסמכי מדיניות ובתוכניות הכשרה. שנית, מרבית המחקרים הם מחקרי חתך או מחקרים איכותניים, ומעטים המחקרים ההתערבותיים, ובכללם מחקרו של קלייניקוב ועמיתיו. שלישית, קולם של התלמידים עצמם, להבדיל מדיווחי מורים ויועצות, נשמע בעיקר במחקרים הכמותיים באנגלית ומעט מאוד במחקר העברי. רביעית, מרכיבים מסוימים בספר, ובהם עיצוב אוניברסלי ללמידה ודפוס חשיבה מתפתח, כמעט שאינם נחקרים בהקשר של טראומה בישראל. פערים אלה מתווים כיוונים למחקר עתידי: מחקרי התערבות ארוכי טווח, שילוב נקודת מבטם של תלמידים, ובחינה של הכשרת מורים בהוראה מודעת טראומה כמשתנה מתערב.</w:t>
      </w:r>
    </w:p>
    <w:p>
      <w:r>
        <w:br w:type="page"/>
      </w:r>
    </w:p>
    <w:p>
      <w:pPr>
        <w:pStyle w:val="Heading1"/>
        <w:keepNext/>
        <w:bidi/>
        <w:spacing w:after="120" w:before="240" w:line="360"/>
        <w:jc w:val="center"/>
      </w:pPr>
      <w:r>
        <w:rPr>
          <w:rFonts w:ascii="Times New Roman" w:cs="David" w:eastAsia="Times New Roman" w:hAnsi="Times New Roman"/>
          <w:b/>
          <w:bCs/>
          <w:sz w:val="36"/>
          <w:szCs w:val="40"/>
          <w:rtl/>
          <w:lang w:val="en-US" w:bidi="he-IL"/>
        </w:rPr>
        <w:t xml:space="preserve">רשימת מקורות</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מקורות בעברית</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אלון, ר', רובין, א' ורוזנטל, ר' (2025). מסוגלות עצמית תעסוקתית של יועצים בימי מלחמת חרבות ברזל: תפקידם של ההון הפסיכולוגי, התמיכה החברתית והרווחה הנפשית. הייעוץ החינוכי, כו. https://www.shaanan.ac.il/wp-content/uploads/2025/02/Alon-Rubin-Rosenthal.pdf</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אלסייד, ח' וליטבק-הירש, ט' (2025). חוויות רגשיות ומשאבי התמודדות של מורות ערביות המלמדות בבתי ספר יהודיים בעקבות אירועי שבעה באוקטובר ומלחמת ישראל-חמאס 2023. דפים, 82. https://dapim.mofet.macam.ac.il/issue/דפים-82/</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בן-אשר, ס', שלו, ר' ובן-עטר, א' (2025). תפקידה של מערכת החינוך בתיווך המציאות לתלמידים במצבי איום ביטחוני ומלחמה. הייעוץ החינוכי, כו. https://www.shaanan.ac.il/wp-content/uploads/2025/02/Ben-Asher-Shalev-Ben-Atar.pdf</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ויצמן בן-דוד, ה', הייזמן, א', חנוכה, מ' ושכטר, ח' (2026). אקוסיסטם של חוסן: קהילות מקצועיות לומדות כמעצבות תפיסת תפקיד וחוסן של מחנכות כיתה בזמן מלחמה. עיונים במינהל ובארגון החינוך, 40, 293–325. https://kaye.ac.il/wp-content/uploads/2025/12/1.pdf</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זבידאת, א', דלאשה, ו' וח'ליל, ע' (2022). גורמים דמוגרפיים, רגשיים-חברתיים וחינוכיים: חוסן אישי בקרב מורים מתחילים ומתמחים בהוראה מהחברה הערבית בישראל. דפים, 76. https://dapim.mofet.macam.ac.il/issue/דפים-76/</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זכאי משיח, מ' (2026). "הוא לא פה ולא שם": חוויית שילובם של תלמידים מפונים בזמן מלחמת חרבות ברזל מנקודת מבטו של הצוות החינוכי. חמדעת: כתב עת רב-תחומי, יט. https://www.hemdat.ac.il/wp-content/uploads/2025/09/שילוב-תלמידים-מפונים-1.pdf</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יוקל, כ' ורומי, ש' (2024). ניתוח משווה של איכות היחסים בין מורים ותלמידים במצבי סיכון ובין מורים ותלמידים שאינם במצבי סיכון. מפגש לעבודה חינוכית-סוציאלית, לב(57). https://kitvei-et.efshar.org.il/wp-content/uploads/05-Mifgash-57-יחסים-בין-מורים-ותלמידים-במצבי-סיכון.pdf</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לבקוביץ, ע' ואמיתי, ק' (2023). "לכאוב כדי לחיות": חוויות של יועצים חינוכיים עם מתבגרים שהתנסו בפגיעה עצמית. הייעוץ החינוכי, כד. https://www.shaanan.ac.il/wp-content/uploads/2023/02/levkovitzamitai.pdf</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נסים, מ' (2025). חינוך מיוחד בזמן המלחמה בישראל: תפיסות מחנכות בחינוך המיוחד בנוגע להשפעות המלחמה ולצורכי התמיכה. במעגלי חינוך: מחקר, עיון ויצירה, 14. https://www.dyellin.ac.il/node/12035</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פינטו, ה' וטטר, מ' (2023). תפיסותיהן של יועצות חינוכיות את הייעוץ החינוכי בימי קורונה: מפגשים בין העמימות המקצועית ובין עמימות המציאות. הייעוץ החינוכי, כד. https://www.shaanan.ac.il/wp-content/uploads/2023/02/fintotatar.pdf</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קטקו-אילי, ק', כהן, א' ומיכאלי, נ' (2025). מ-SEL ל-SPEL: הוראה מודעת רגש פוליטי בזמן משבר. דפים, 82. https://dapim.mofet.macam.ac.il/wp-content/uploads/2025/05/מ-SEL-ל-SPEL.pdf</w:t>
      </w:r>
    </w:p>
    <w:p>
      <w:pPr>
        <w:bidi/>
        <w:spacing w:after="160" w:before="0" w:line="360"/>
        <w:ind w:left="720" w:hanging="720"/>
        <w:jc w:val="both"/>
      </w:pPr>
      <w:r>
        <w:rPr>
          <w:rFonts w:ascii="Times New Roman" w:cs="David" w:eastAsia="Times New Roman" w:hAnsi="Times New Roman"/>
          <w:b w:val="false"/>
          <w:i w:val="false"/>
          <w:iCs w:val="false"/>
          <w:sz w:val="28"/>
          <w:szCs w:val="26"/>
          <w:rtl/>
          <w:lang w:val="en-US" w:bidi="he-IL"/>
        </w:rPr>
        <w:t xml:space="preserve">קפלן, ח', כהן, ה', כלפון, ע', יערי, ג' וגלעד, ל' (2025). "לייצר משהו חדש בזמן שאת בעצמך חדשה": מנהלות חדשות בתקופת מלחמה. דפים, 82. https://dapim.mofet.macam.ac.il/wp-content/uploads/2025/08/דפים-82-גרסה-סופית.pdf</w:t>
      </w:r>
    </w:p>
    <w:p>
      <w:pPr>
        <w:pStyle w:val="Heading2"/>
        <w:keepNext/>
        <w:bidi/>
        <w:spacing w:after="120" w:before="200" w:line="360"/>
        <w:jc w:val="right"/>
      </w:pPr>
      <w:r>
        <w:rPr>
          <w:rFonts w:ascii="Times New Roman" w:cs="David" w:eastAsia="Times New Roman" w:hAnsi="Times New Roman"/>
          <w:b/>
          <w:bCs/>
          <w:sz w:val="32"/>
          <w:szCs w:val="36"/>
          <w:rtl/>
          <w:lang w:val="en-US" w:bidi="he-IL"/>
        </w:rPr>
        <w:t xml:space="preserve">מקורות באנגלית</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Avissar, N., Ben-Amar Shechtman, D., &amp; Levi-Keren, M. (2026). Teaching through trauma: Israeli teacher education in crisis. Frontiers in Education, 11, 1879346. https://doi.org/10.3389/feduc.2026.1879346</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Kaim, A., Lev-Ari, S., &amp; Adini, B. (2023). Distress following the COVID-19 pandemic among schools' stakeholders: Psychosocial aspects and communication. International Journal of Environmental Research and Public Health, 20(6), 4837. https://doi.org/10.3390/ijerph20064837</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Kaplan, N., Zerach, G., &amp; Levi-Belz, Y. (2025). The contribution of moral injury to Israeli teachers' mental health difficulties: The mediating role of shame and guilt. Frontiers in Psychiatry, 16, 1634795. https://doi.org/10.3389/fpsyt.2025.1634795</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Keleynikov, M., Benatov, J., &amp; Berger, R. (2022). Preschool teachers' psychological distress and work engagement during COVID-19 outbreak: The protective role of mindfulness and emotion regulation. International Journal of Environmental Research and Public Health, 19(5), 2645. https://doi.org/10.3390/ijerph19052645</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Lane, J., Chow, R., Hambrick, E., &amp; Earl, R. (2025). Becoming trauma responsive. New Prairie Press. https://newprairiepress.org/ebooks/56/</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Lassri, D. (2023). Psychological distress among teaching staff during the COVID-19 pandemic: A transdiagnostic perspective on profiles of risk and resilience. Teaching and Teacher Education, 128, 104143. https://doi.org/10.1016/j.tate.2023.104143</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Olinover, M., &amp; Hamama, L. (2025). Adolescents during wartime: Vulnerability-based profiles. Journal of Research on Adolescence, 35, e70041. https://doi.org/10.1111/jora.70041</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Refaeli, T., Sold, A., &amp; Aharonson-Daniel, L. (2025). Post-traumatic stress among adolescents following the October 7th attack in Israel: Implications for mental health policy and planning. Israel Journal of Health Policy Research, 14, 76. https://doi.org/10.1186/s13584-025-00740-1</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Shinan-Altman, S., &amp; Levkovich, I. (2022). Are personal resources and perceived stress associated with psychological outcomes among Israeli teachers during the third COVID-19 lockdown? International Journal of Environmental Research and Public Health, 19(9), 5634. https://doi.org/10.3390/ijerph19095634</w:t>
      </w:r>
    </w:p>
    <w:p>
      <w:pPr>
        <w:bidi w:val="false"/>
        <w:spacing w:after="160" w:before="0" w:line="360"/>
        <w:ind w:left="720" w:hanging="720"/>
        <w:jc w:val="left"/>
      </w:pPr>
      <w:r>
        <w:rPr>
          <w:rFonts w:ascii="Times New Roman" w:cs="David" w:eastAsia="Times New Roman" w:hAnsi="Times New Roman"/>
          <w:b w:val="false"/>
          <w:i w:val="false"/>
          <w:iCs w:val="false"/>
          <w:sz w:val="28"/>
          <w:szCs w:val="26"/>
          <w:rtl w:val="false"/>
          <w:lang w:val="en-US" w:bidi="he-IL"/>
        </w:rPr>
        <w:t xml:space="preserve">Shur-Kraspin, L., Slone, M., &amp; Kanat-Maymon, Y. (2025). Youth exposed to armed conflict: The homeroom teacher as a protective agent promoting student resilience. International Journal of Environmental Research and Public Health, 22(8), 1233. https://doi.org/10.3390/ijerph22081233</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David" w:eastAsia="Times New Roman" w:hAnsi="Times New Roman"/>
        <w:sz w:val="24"/>
        <w:szCs w:val="24"/>
        <w:lang w:val="en-US" w:bidi="he-I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Times New Roman" w:hAnsi="Times New Roman"/>
        <w:sz w:val="28"/>
        <w:szCs w:val="26"/>
        <w:rtl/>
        <w:lang w:val="en-US" w:bidi="he-IL"/>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David" w:eastAsia="Times New Roman" w:hAnsi="Times New Roman"/>
      <w:b/>
      <w:bCs/>
      <w:color w:val="000000"/>
      <w:sz w:val="36"/>
      <w:szCs w:val="36"/>
      <w:lang w:val="en-US" w:bidi="he-IL"/>
    </w:rPr>
  </w:style>
  <w:style w:type="paragraph" w:styleId="Heading2">
    <w:name w:val="Heading 2"/>
    <w:basedOn w:val="Normal"/>
    <w:next w:val="Normal"/>
    <w:qFormat/>
    <w:pPr>
      <w:spacing w:after="120" w:before="200"/>
      <w:outlineLvl w:val="1"/>
    </w:pPr>
    <w:rPr>
      <w:rFonts w:ascii="Times New Roman" w:cs="David" w:eastAsia="Times New Roman" w:hAnsi="Times New Roman"/>
      <w:b/>
      <w:bCs/>
      <w:color w:val="000000"/>
      <w:sz w:val="32"/>
      <w:szCs w:val="32"/>
      <w:lang w:val="en-US" w:bidi="he-IL"/>
    </w:rPr>
  </w:style>
  <w:style w:type="paragraph" w:styleId="Heading3">
    <w:name w:val="Heading 3"/>
    <w:basedOn w:val="Normal"/>
    <w:next w:val="Normal"/>
    <w:qFormat/>
    <w:pPr>
      <w:spacing w:after="120" w:before="160"/>
      <w:outlineLvl w:val="2"/>
    </w:pPr>
    <w:rPr>
      <w:rFonts w:ascii="Times New Roman" w:cs="David" w:eastAsia="Times New Roman" w:hAnsi="Times New Roman"/>
      <w:b/>
      <w:bCs/>
      <w:color w:val="000000"/>
      <w:sz w:val="30"/>
      <w:szCs w:val="30"/>
      <w:lang w:val="en-US" w:bidi="he-I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סקירת ספרות: הוראה מודעת טראומה בישראל, 2021–2026</dc:title>
  <dc:creator>Student</dc:creator>
  <cp:lastModifiedBy>Un-named</cp:lastModifiedBy>
  <cp:revision>1</cp:revision>
  <dcterms:created xsi:type="dcterms:W3CDTF">2026-09-13T17:42:08.471Z</dcterms:created>
  <dcterms:modified xsi:type="dcterms:W3CDTF">2026-09-13T17:42:08.471Z</dcterms:modified>
</cp:coreProperties>
</file>

<file path=docProps/custom.xml><?xml version="1.0" encoding="utf-8"?>
<Properties xmlns="http://schemas.openxmlformats.org/officeDocument/2006/custom-properties" xmlns:vt="http://schemas.openxmlformats.org/officeDocument/2006/docPropsVTypes"/>
</file>