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rPr>
        <w:t>בשלב השלישי מופו הקטגוריות שנחשפו מן הראיונות וקושרו לסקירת הספרות (ראו נספח 2, טבלה 2),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noProof/>
          <w:color w:val="000000"/>
          <w:sz w:val="24"/>
          <w:szCs w:val="24"/>
          <w:rtl/>
        </w:rPr>
        <w:t>במסגרת המחקר רואיינו שש גננות על תפיסתן את ההתנהלות הצודקת וההוגנת בגן הילדים. במהלך ניתוח הראיונות, שנערך על-פי עקרונות התיאוריה המעוגנת בשדה (גבתון, 2001), נחשפו קטגוריית-על אחת, התנהלות צודקת והוגנת בגן, ושבע קטגוריות מרכזיות המאירות את שאלת המחקר. הקטגוריות הן: תפיסת המונח "צדק בגן"; חלוקת משאב תשומת הלב הרגשית; ההבחנה בין חלוקה שווה לחלוקה הוגנת; חלוקת המשאבים הפיזיים והמרחב הקבוצתי; צדק חברתי-כלכלי ומניעת בושה; הגננת כסוכנת צדק וכמחנכת ערכים; וצדק ביחסי גננת-הורים.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noProof/>
          <w:color w:val="000000"/>
          <w:sz w:val="24"/>
          <w:szCs w:val="24"/>
          <w:rtl/>
        </w:rPr>
        <w:t>כל שש המרואיינות התייחסו למונח "צדק בגן" כאל סוגיה חיה ויומיומית, ולא כאל מושג מופשט. בפתח כל ראיון הן נתבקשו לתאר מה עולה בדעתן כשהן שומעות את המונח, ומן הדגשים השונים שנתנו לו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noProof/>
          <w:color w:val="000000"/>
          <w:sz w:val="24"/>
          <w:szCs w:val="24"/>
          <w:rtl/>
        </w:rPr>
        <w:t>מדבריה עולה כי חוש הצדק של הילדים עצמם הוא נקודת הייחוס הראשונה של הגננת: הילדים מזהים אי-הוגנות בשנייה, והגננת נדרשת להתייחס לכך ברצינות.</w:t>
      </w:r>
    </w:p>
    <w:p>
      <w:pPr>
        <w:bidi w:val="1"/>
        <w:spacing w:line="360" w:lineRule="auto"/>
        <w:jc w:val="both"/>
      </w:pPr>
      <w:r>
        <w:rPr>
          <w:rFonts w:ascii="David" w:hAnsi="David" w:cs="David"/>
          <w:noProof/>
          <w:color w:val="000000"/>
          <w:sz w:val="24"/>
          <w:szCs w:val="24"/>
          <w:rtl/>
        </w:rPr>
        <w:t>מחקרים מעידים על כך שרגישות לחלוקה הוגנת מופיעה כבר בגיל הרך: ילדים בגיל הגן מזהים חלוקה בלתי שוויונית, מגיבים אליה רגשית, ואף מוכנים לשלם מחיר כדי לתקנה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noProof/>
          <w:color w:val="000000"/>
          <w:sz w:val="24"/>
          <w:szCs w:val="24"/>
          <w:rtl/>
        </w:rPr>
        <w:t>שתי המרואיינות מציגות אפוא את הצדק כעבודה פרשנית מתמשכת, שבה הגננת נדרשת להכיר כל ילד לעומק כתנאי לחלוקה צודקת.</w:t>
      </w:r>
    </w:p>
    <w:p>
      <w:pPr>
        <w:bidi w:val="1"/>
        <w:spacing w:line="360" w:lineRule="auto"/>
        <w:jc w:val="both"/>
      </w:pPr>
      <w:r>
        <w:rPr>
          <w:rFonts w:ascii="David" w:hAnsi="David" w:cs="David"/>
          <w:noProof/>
          <w:color w:val="000000"/>
          <w:sz w:val="24"/>
          <w:szCs w:val="24"/>
          <w:rtl/>
        </w:rPr>
        <w:t>מחקרים מעידים על כך שחלוקה צודקת על-פי עיקרון הצורך נקבעת לפי צרכיו של הפרט ולא לפי זהות המנות, וכי עיקרון זה עומד בבסיס הגישה הרב-ממדית לצדק חלוקתי (Connell, 1993; סבג וביברמן-שלו, 2014). ממצאים דומים עלו אצל לי ואחרים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noProof/>
          <w:color w:val="000000"/>
          <w:sz w:val="24"/>
          <w:szCs w:val="24"/>
          <w:rtl/>
        </w:rPr>
        <w:t>שתיים מתוך שש המרואיינות, ובעיקר אלה העובדות עם אוכלוסיות מוחלשות, הבליטו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noProof/>
          <w:color w:val="000000"/>
          <w:sz w:val="24"/>
          <w:szCs w:val="24"/>
          <w:rtl/>
        </w:rPr>
        <w:t>בדבריה מתבטאת התפיסה המהותית של שוויון ההזדמנויות: לא הסתפקות בזכויות שוות על הנייר, אלא פעולה אקטיבית לצמצום הפער שעמו מגיעים ילדים מרקע מוחלש. ראוי לשים לב כי אצל מרואיינת זו הצדק אינו מתמצה ביחסים שבתוך הגן, אלא מופנה כלפי אי-השוויון החברתי שמחוץ לו, והגן נתפס ככלי לתיקונו.</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הקצאת משאבים מוגברת דווקא למי שנקודת הפתיחה שלו נמוכה, שכן זכויות שוות על הנייר אינן מבטלות פערים בנקודת הפתיחה (דהאן, 2010; אדלר ובלס, 2009). תפיסת השליחות העולה מן הדברים מהדהדת גם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noProof/>
          <w:color w:val="000000"/>
          <w:sz w:val="24"/>
          <w:szCs w:val="24"/>
          <w:rtl/>
        </w:rPr>
        <w:t>מרואיינת אחת מתוך השש,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noProof/>
          <w:color w:val="000000"/>
          <w:sz w:val="24"/>
          <w:szCs w:val="24"/>
          <w:rtl/>
        </w:rPr>
        <w:t>תפיסה זו מעתיקה את מרכז הכובד מן התוצאה אל ההליך: השאלה אינה רק מה קיבל כל ילד, אלא האם הוא חש שרואים ושומעים אותו. קטגוריית משנה זו, שנשענה על שני קולות, מוסיפה ממד שאינו מודגש אצל יתר המרואיינות, ולכן הובאה כאן בהרחבה.</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spacing w:line="360" w:lineRule="auto"/>
        <w:jc w:val="both"/>
      </w:pPr>
      <w:r>
        <w:rPr>
          <w:rFonts w:ascii="David" w:hAnsi="David" w:cs="David"/>
          <w:noProof/>
          <w:color w:val="000000"/>
          <w:sz w:val="24"/>
          <w:szCs w:val="24"/>
          <w:rtl/>
        </w:rPr>
        <w:t>מחקרים מעידים על כך שאיכות היחס, הכבוד וההליך ההוגן הם מרכיבים מרכזיים בחוויית הצדק של הלומד, לצד התוצאה החלוקתית עצמה, כפי שמלמדים מושגי הצדק האינטראקציוני והפרוצדורלי (Horan et al., 2010; Jiang et al., 2018).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noProof/>
          <w:color w:val="000000"/>
          <w:sz w:val="24"/>
          <w:szCs w:val="24"/>
          <w:rtl/>
        </w:rPr>
        <w:t>הפתרון שהיא מציעה, מתן התוספת בזמנים שאינם באים על חשבון הקבוצה, הוא פתרון מעשי למתח המובנה שבין אינטרס הפרט לטובת הכלל.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noProof/>
          <w:color w:val="000000"/>
          <w:sz w:val="24"/>
          <w:szCs w:val="24"/>
          <w:rtl/>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w:t>
      </w:r>
    </w:p>
    <w:p>
      <w:pPr>
        <w:bidi w:val="1"/>
        <w:spacing w:line="360" w:lineRule="auto"/>
        <w:jc w:val="both"/>
      </w:pPr>
      <w:r>
        <w:rPr>
          <w:rFonts w:ascii="David" w:hAnsi="David" w:cs="David"/>
          <w:noProof/>
          <w:color w:val="000000"/>
          <w:sz w:val="24"/>
          <w:szCs w:val="24"/>
          <w:rtl/>
        </w:rPr>
        <w:t>מחקרים מעידים על כך שהמתח שבין אינטרס הפרט לטובת הכלל הוא חלק בלתי נפרד מן העשייה החינוכית בתנאי משאבים מוגבלים (סבג וביברמן-שלו, 2014). עוד עולה מן הספרות כי עקרונות הצדק, שוויון, צורך והוגנות, אינם מוציאים זה את זה אלא פועלים זה לצד זה בהתאם להקשר (Deutsch, 1985), ממש כפי ששילוב שתי מערכות החלוקה בדברי המרואיינות מדגים.</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noProof/>
          <w:color w:val="000000"/>
          <w:sz w:val="24"/>
          <w:szCs w:val="24"/>
          <w:rtl/>
        </w:rPr>
        <w:t>חמש מתוך שש המרואיינות גילו מודעות מפורשת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noProof/>
          <w:color w:val="000000"/>
          <w:sz w:val="24"/>
          <w:szCs w:val="24"/>
          <w:rtl/>
        </w:rPr>
        <w:t>שתי המרואיינות מתארות אפוא את הצדק בחלוקת הקשב כהישג שיש להיאבק עליו נגד נטייה טבעית, ולא כמצב נתון.</w:t>
      </w:r>
    </w:p>
    <w:p>
      <w:pPr>
        <w:bidi w:val="1"/>
        <w:spacing w:line="360" w:lineRule="auto"/>
        <w:jc w:val="both"/>
      </w:pPr>
      <w:r>
        <w:rPr>
          <w:rFonts w:ascii="David" w:hAnsi="David" w:cs="David"/>
          <w:noProof/>
          <w:color w:val="000000"/>
          <w:sz w:val="24"/>
          <w:szCs w:val="24"/>
          <w:rtl/>
        </w:rPr>
        <w:t>מחקרים מעידים על כך שתחושת הנראות של הלומד היא מרכיב מרכזי בחוויית הצדק האינטראקציוני: יחס של כבוד והתייחסות אישית מצד המחנכת נתפסים בעיני הלומדים כביטוי מובהק של הוגנות, ולכן חלוקה בלתי מודעת של הקשב עלולה להיחוות כעוול (Horan et al., 2010;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noProof/>
          <w:color w:val="000000"/>
          <w:sz w:val="24"/>
          <w:szCs w:val="24"/>
          <w:rtl/>
        </w:rPr>
        <w:t>ארבע מתוך שש המרואיינות תיארו, כמענה לסכנה זו,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noProof/>
          <w:color w:val="000000"/>
          <w:sz w:val="24"/>
          <w:szCs w:val="24"/>
          <w:rtl/>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w:t>
      </w:r>
    </w:p>
    <w:p>
      <w:pPr>
        <w:bidi w:val="1"/>
        <w:spacing w:line="360" w:lineRule="auto"/>
        <w:jc w:val="both"/>
      </w:pPr>
      <w:r>
        <w:rPr>
          <w:rFonts w:ascii="David" w:hAnsi="David" w:cs="David"/>
          <w:noProof/>
          <w:color w:val="000000"/>
          <w:sz w:val="24"/>
          <w:szCs w:val="24"/>
          <w:rtl/>
        </w:rPr>
        <w:t>מחקרים מעידים על כך שתפיסות הצדק של מורים נבחנות בדרך כלל סביב משאבים מדידים דוגמת ציונים ותגמולים (קרמרסקי ורש, 2004). ממצאי המחקר הנוכחי מחדדים את ייחודו של הגן כזירת צדק חלוקתי, שבה המשאב המחולק אינו ניתן לרישום, ולכן חלוקתו עלולה להיעלם מן העין ללא מעקב מכוון.</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noProof/>
          <w:color w:val="000000"/>
          <w:sz w:val="24"/>
          <w:szCs w:val="24"/>
          <w:rtl/>
        </w:rPr>
        <w:t>כל שש המרואיינות הבחינו באופן חד בין חלוקה שווה לחלוקה הוגנת, ולא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noProof/>
          <w:color w:val="000000"/>
          <w:sz w:val="24"/>
          <w:szCs w:val="24"/>
          <w:rtl/>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w:t>
      </w:r>
    </w:p>
    <w:p>
      <w:pPr>
        <w:bidi w:val="1"/>
        <w:spacing w:line="360" w:lineRule="auto"/>
        <w:jc w:val="both"/>
      </w:pPr>
      <w:r>
        <w:rPr>
          <w:rFonts w:ascii="David" w:hAnsi="David" w:cs="David"/>
          <w:noProof/>
          <w:color w:val="000000"/>
          <w:sz w:val="24"/>
          <w:szCs w:val="24"/>
          <w:rtl/>
        </w:rPr>
        <w:t>מחקרים מעידים על כך שההבחנה בין שוויון פורמלי להוגנות מהותית עומדת בלב תיאוריות הצדק החלוקתי בחינוך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noProof/>
          <w:color w:val="000000"/>
          <w:sz w:val="24"/>
          <w:szCs w:val="24"/>
          <w:rtl/>
        </w:rPr>
        <w:t>ארבע מתוך שש המרואיינות תיארו כיצד הן מלמדות את ההבחנה בין שווה להוגן במפורש את הילדים, ממצא מפתיע בעוצמתו, המלמד שההבחנה אינה נשארת נחלת הגננת בלבד.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noProof/>
          <w:color w:val="000000"/>
          <w:sz w:val="24"/>
          <w:szCs w:val="24"/>
          <w:rtl/>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w:t>
      </w:r>
    </w:p>
    <w:p>
      <w:pPr>
        <w:bidi w:val="1"/>
        <w:spacing w:line="360" w:lineRule="auto"/>
        <w:jc w:val="both"/>
      </w:pPr>
      <w:r>
        <w:rPr>
          <w:rFonts w:ascii="David" w:hAnsi="David" w:cs="David"/>
          <w:noProof/>
          <w:color w:val="000000"/>
          <w:sz w:val="24"/>
          <w:szCs w:val="24"/>
          <w:rtl/>
        </w:rPr>
        <w:t>מחקרים מעידים על כך שהיכולת להעדיף חלוקה מבוססת-צורך מתגבשת בגיל הגן ומתבססת בשנות בית הספר (Grütter et al., 2024; Elenbaas &amp; Mistry, 2021). ממצאי המחקר הנוכחי מוסיפים לכך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noProof/>
          <w:color w:val="000000"/>
          <w:sz w:val="24"/>
          <w:szCs w:val="24"/>
          <w:rtl/>
        </w:rPr>
        <w:t>שש מתוך שש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noProof/>
          <w:color w:val="000000"/>
          <w:sz w:val="24"/>
          <w:szCs w:val="24"/>
          <w:rtl/>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מגן בפני עצמו.</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spacing w:line="360" w:lineRule="auto"/>
        <w:jc w:val="both"/>
      </w:pPr>
      <w:r>
        <w:rPr>
          <w:rFonts w:ascii="David" w:hAnsi="David" w:cs="David"/>
          <w:noProof/>
          <w:color w:val="000000"/>
          <w:sz w:val="24"/>
          <w:szCs w:val="24"/>
          <w:rtl/>
        </w:rPr>
        <w:t>מחקרים מעידים על כך שהליך שקוף, עקבי וניתן לחיזוי נחווה כהוגן עוד בטרם נבחנה תוצאתו, וכי הצדק הפרוצדורלי הוא מרכיב מרכזי בחוויית ההוגנות של לומדים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noProof/>
          <w:color w:val="000000"/>
          <w:sz w:val="24"/>
          <w:szCs w:val="24"/>
          <w:rtl/>
        </w:rPr>
        <w:t>שתיים מתוך שש המרואיינות הדגישו ממד נוסף: הוצאת ההכרעה מידי הגננת והעברתה אל כלל גלוי, מוסכם ובלתי תלוי באיש.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noProof/>
          <w:color w:val="000000"/>
          <w:sz w:val="24"/>
          <w:szCs w:val="24"/>
          <w:rtl/>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spacing w:line="360" w:lineRule="auto"/>
        <w:jc w:val="both"/>
      </w:pPr>
      <w:r>
        <w:rPr>
          <w:rFonts w:ascii="David" w:hAnsi="David" w:cs="David"/>
          <w:noProof/>
          <w:color w:val="000000"/>
          <w:sz w:val="24"/>
          <w:szCs w:val="24"/>
          <w:rtl/>
        </w:rPr>
        <w:t>מחקרים מעידים על כך שעקרונות צדק שונים מתקיימים זה לצד זה בפרקטיקה חינוכית אחת, כלל שקוף לצד חריגה מנומקת לפי צורך (Deutsch, 1985; Jiang et al., 2018), וכי ילדים בגיל הרך מסוגלים לפעול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noProof/>
          <w:color w:val="000000"/>
          <w:sz w:val="24"/>
          <w:szCs w:val="24"/>
          <w:rtl/>
        </w:rPr>
        <w:t>שש מתוך שש המרואיינות התייחסו לילד ה"לוקח" מקום רב במרחב הקבוצתי, שנתפס בעיניהן כמשאב שיש לחלקו בהוגנות. עמדתן המשותפת הייתה שאין לדכא את הילד הדומיננטי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noProof/>
          <w:color w:val="000000"/>
          <w:sz w:val="24"/>
          <w:szCs w:val="24"/>
          <w:rtl/>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בדאגה שקטה לבגדים ולתנאים, והן במעמד החברתי.</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spacing w:line="360" w:lineRule="auto"/>
        <w:jc w:val="both"/>
      </w:pPr>
      <w:r>
        <w:rPr>
          <w:rFonts w:ascii="David" w:hAnsi="David" w:cs="David"/>
          <w:noProof/>
          <w:color w:val="000000"/>
          <w:sz w:val="24"/>
          <w:szCs w:val="24"/>
          <w:rtl/>
        </w:rPr>
        <w:t>מחקרים מעידים על כך שעבודת הגננת בגיל הרך משלבת את ממדי ההכלה, ההוגנות והצדק החברתי לכדי מכלול אחד של כשירויות מקצועיות, הנדרשות בדיוק להתערבויות מן הסוג שתיארו המרואיינות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noProof/>
          <w:color w:val="000000"/>
          <w:sz w:val="24"/>
          <w:szCs w:val="24"/>
          <w:rtl/>
        </w:rPr>
        <w:t>חמש מתוך שש המרואיינות תיארו עיצוב מוקדם של כללי הגן כך שפערים כלכליים לא יקבלו במה, ובמרכזו מניעת הבושה כערך מארגן.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spacing w:line="360" w:lineRule="auto"/>
        <w:jc w:val="both"/>
      </w:pPr>
      <w:r>
        <w:rPr>
          <w:rFonts w:ascii="David" w:hAnsi="David" w:cs="David"/>
          <w:noProof/>
          <w:color w:val="000000"/>
          <w:sz w:val="24"/>
          <w:szCs w:val="24"/>
          <w:rtl/>
        </w:rPr>
        <w:t>מחקרים ומסמכי מדיניות מעידים על כך שהשמירה על כבוד הילד ומניעת השפלה ופגיעה הן חובות יסוד בהתנהלות החינוכית בגן (משרד החינוך, 2010; מכללת סמינר הקיבוצים, 2018). ממצאי המחקר מוסיפים לכך ממד יזום: הגננות אינן מסתפקות בתגובה לפגיעה לאחר שאירעה, אלא מעצבות מראש את הכללים ואת הפעילויות כך שהבושה לא תיווצר כלל.</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noProof/>
          <w:color w:val="000000"/>
          <w:sz w:val="24"/>
          <w:szCs w:val="24"/>
          <w:rtl/>
        </w:rPr>
        <w:t>שלוש מתוך שש המרואיינות תיארו, מעבר למניעת הבושה,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noProof/>
          <w:color w:val="000000"/>
          <w:sz w:val="24"/>
          <w:szCs w:val="24"/>
          <w:rtl/>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הקצאה מוגברת של משאבים למי שנקודת הפתיחה שלו נמוכה, כדי לקרבו לנקודת פתיחה שווה (דהאן, 2010; אדלר ובלס, 2009), וכי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noProof/>
          <w:color w:val="000000"/>
          <w:sz w:val="24"/>
          <w:szCs w:val="24"/>
          <w:rtl/>
        </w:rPr>
        <w:t>חמש מתוך שש המרואיינות הביעו את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noProof/>
          <w:color w:val="000000"/>
          <w:sz w:val="24"/>
          <w:szCs w:val="24"/>
          <w:rtl/>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w:t>
      </w:r>
    </w:p>
    <w:p>
      <w:pPr>
        <w:bidi w:val="1"/>
        <w:spacing w:line="360" w:lineRule="auto"/>
        <w:jc w:val="both"/>
      </w:pPr>
      <w:r>
        <w:rPr>
          <w:rFonts w:ascii="David" w:hAnsi="David" w:cs="David"/>
          <w:noProof/>
          <w:color w:val="000000"/>
          <w:sz w:val="24"/>
          <w:szCs w:val="24"/>
          <w:rtl/>
        </w:rPr>
        <w:t>מחקרים מעידים על כך שהגננת פועלת כדמות מוסרית מעצבת וכסוכנת חיברות ראשונה, וכי דוגמתה האישית היא ערוץ מרכזי שבו נרכשים ערכים בגיל הרך (Solehuddin &amp; Adriany, 2017).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noProof/>
          <w:color w:val="000000"/>
          <w:sz w:val="24"/>
          <w:szCs w:val="24"/>
          <w:rtl/>
        </w:rPr>
        <w:t>כל שש המרואיינות הסכימו כי קידום הצדק הוא חלק מתפקידן, אולם ניכרו הבדלים באופן שבו הן ממשיגות אותו.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noProof/>
          <w:color w:val="000000"/>
          <w:sz w:val="24"/>
          <w:szCs w:val="24"/>
          <w:rtl/>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מלמדת כי הבסיס הערכי קודם לשפה המקצועית, אך אינו תלוי בה.</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spacing w:line="360" w:lineRule="auto"/>
        <w:jc w:val="both"/>
      </w:pPr>
      <w:r>
        <w:rPr>
          <w:rFonts w:ascii="David" w:hAnsi="David" w:cs="David"/>
          <w:noProof/>
          <w:color w:val="000000"/>
          <w:sz w:val="24"/>
          <w:szCs w:val="24"/>
          <w:rtl/>
        </w:rPr>
        <w:t>מחקרים מעידים על כך שקיימת שונות רבה בין גננות במודעות ובכלים לעיסוק בצדק ובהוגנות (Lang et al., 2024; Ryan &amp; Grieshaber, 2024), ושונות דומה תועדה גם באמונות פדגוגיות רחבות יותר, שנמצאו מושפעות בין היתר ממאפייני אוכלוסיית הגן ומניסיונה של הגננת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spacing w:line="360" w:lineRule="auto"/>
        <w:jc w:val="both"/>
      </w:pPr>
      <w:r>
        <w:rPr>
          <w:rFonts w:ascii="David" w:hAnsi="David" w:cs="David"/>
          <w:noProof/>
          <w:color w:val="000000"/>
          <w:sz w:val="24"/>
          <w:szCs w:val="24"/>
          <w:rtl/>
        </w:rPr>
        <w:t>מחקרים מעידים על כך שיחסי גננות והורים הם יחסים אמביוולנטיים, המשלבים הערכה ותמיכה עם תלונות ולחצים (אדרי, 2021), וכי תקשורת פתוחה ואמון הם הגורמים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rPr>
        <w:t>במרכז התמות עומדת ההבחנה החדה שערכו כל שש המרואיינות בין חלוקה שווה לחלוקה הוגנת, והעדפתן הברורה את ההוגנות מבוססת-הצורך על פני השוויון המכני. ממצא זה תואם את עיקרון הצורך בגישה הרב-ממדית לצדק חלוקתי (Connell, 1993; סבג וביברמן-שלו, 2014), אך הוא גם מוסיף לה חידוד חשוב: בעוד שבזירה הבית-ספרית נמצא כי המשאב המרכזי העומד לחלוקה הוא הציון, וכי עקרון החלוקה הדומיננטי בה נקשר לתפוקה ולהישג (קרמרסקי ורש, 2004), הרי שבגן, בהיעדר ציונים, המשאבים העומדים לחלוקה הם רכים, קשב, זמן, מרחב וכבוד, ועקרון החלוקה הדומיננטי הוא הצורך. נראה אפוא כי זהות המשאב מעצבת את עקרון הצדק הנבחר: ככל שהמשאב פחות מדיד, כך גוברת הנטייה לחלקו על פי צורכי הילד ולא על פי הישגיו.</w:t>
      </w:r>
    </w:p>
    <w:p>
      <w:pPr>
        <w:bidi w:val="1"/>
        <w:spacing w:line="360" w:lineRule="auto"/>
        <w:jc w:val="both"/>
      </w:pPr>
      <w:r>
        <w:rPr>
          <w:rFonts w:ascii="David" w:hAnsi="David" w:cs="David"/>
          <w:noProof/>
          <w:color w:val="000000"/>
          <w:sz w:val="24"/>
          <w:szCs w:val="24"/>
          <w:rtl/>
        </w:rPr>
        <w:t>סביב ליבה זו התארגנו יתר הממצאים. חלוקת תשומת הלב הרגשית נתפסה כפעולה מכוונת ושיטתית, הנדרשת להיאבק בעוול הסמוי של הילד השקט, באופן המחבר בין הצדק החלוקתי לצדק האינטראקציוני, שבמרכזו איכות היחס והכבוד (Horan et al., 2010; Jiang et al., 2018). השקיפות והצפיות של כללי הגן נתפסו כמקור עיקרי לתחושת ההוגנות של הילדים, ברוח הצדק הפרוצדורלי, והשילוב שתיארו המרואיינות בין כלל שקוף לבין חריגה מנומקת לפי צורך ממחיש את טענת דויטש (Deutsch, 1985) שעקרונות הצדק פועלים זה לצד זה ואינם מוציאים זה את זה. יתרה מזו, הממצאים על שיתוף הילדים בקביעת הכללים וביישוב סכסוכים עולים בקנה אחד עם התפיסה העדכנית של ילדי הגן כבעלי יכולת שיפוט מוסרי וכשותפים פעילים לסדר הקבוצתי, ולא כנמענים סבילים של החלטות המבוגר (Lee et al., 2022; Grütter et al., 2024).</w:t>
      </w:r>
    </w:p>
    <w:p>
      <w:pPr>
        <w:bidi w:val="1"/>
        <w:spacing w:line="360" w:lineRule="auto"/>
        <w:jc w:val="both"/>
      </w:pPr>
      <w:r>
        <w:rPr>
          <w:rFonts w:ascii="David" w:hAnsi="David" w:cs="David"/>
          <w:noProof/>
          <w:color w:val="000000"/>
          <w:sz w:val="24"/>
          <w:szCs w:val="24"/>
          <w:rtl/>
        </w:rPr>
        <w:t>ממד בולט נוסף הוא הממד החברתי-כלכלי: הגן נתפס בעיני המרואיינות כמרחב מתקן, המצמצם פערים ומונע בושה, יישום מעשי של שוויון ההזדמנויות המהותי (אדלר ובלס, 2009; דהאן, 2010), העולה בקנה אחד עם ממצאים שלפיהם חוויות מוקדמות של אי-שוויון מעצבות את תפיסות הצדק של הילדים עצמם (Elenbaas &amp; Mistry, 2021). תפיסת השליחות שביטאו המרואיינות, ובייחוד אלה העובדות באוכלוסיות מוחלשות, מהדהדת את ההמשגה של מנהיגות לצדק חברתי בקרב אנשי חינוך בישראל (עראר ועות'מאן ראפע, 2019). עוד נמצא כי הוגנות הגננת נבחנת גם מול ההורים, זירה שתוארה בספרות כיחסים אמביוולנטיים המשלבים אמון ולחץ (אדרי, 2021; לוי ואחרים, 2023), וכי הגננות רואות בקידום ערכי הצדק שליחות הנלמדת בדוגמה אישית, ברוח הקוד האתי בגן הילדים (מכללת סמינר הקיבוצים, 2018), התוכנית להתנהלות הומנית (משרד החינוך, 2010) והספרות על הגננת כסוכנת חיברות מוסרית (Solehuddin &amp; Adriany, 2017). לצד זאת, הזיקה שנמצאה בין העולם הרגשי לבין ההתנהלות ההוגנת מתיישבת עם תפיסת הגננות את עצמן כמובילות הלמידה הרגשית-חברתית בגן (בסר-בירון ושבחון-שרף, 2026).</w:t>
      </w:r>
    </w:p>
    <w:p>
      <w:pPr>
        <w:bidi w:val="1"/>
        <w:spacing w:line="360" w:lineRule="auto" w:after="120"/>
        <w:jc w:val="both"/>
      </w:pPr>
      <w:r>
        <w:rPr>
          <w:rFonts w:ascii="David" w:hAnsi="David" w:cs="David"/>
          <w:noProof/>
          <w:color w:val="000000"/>
          <w:sz w:val="24"/>
          <w:szCs w:val="24"/>
          <w:rtl/>
        </w:rPr>
        <w:t>תמות אלה תורמות תרומה משולשת. מן ההיבט התיאורטי, המחקר מרחיב את חקר תפיסות הצדק אל הגיל הרך, זירה שכמעט לא נחקרה בהקשר הישראלי, וממחיש כי עקרונות הצדק החלוקתי מתקיימים בגן במלוא עוצמתם, אך סביב משאבים רכים ובלתי מדידים ולא סביב ציונים (קרמרסקי ורש, 2004). בכך הוא מציע להרחיב את מושג הצדק בחינוך כך שיכלול גם את חלוקת הקשב, המרחב והכבוד.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בין גננות במודעות ובכלים (סברדלוב ואחרים, 2017; Lang et al., 2024; Ryan &amp; Grieshaber, 2024) ומצביע על הצורך בהמשגה מפורשת של הצדק החלוקתי בהכשרת גננות ובהשתלמויות. ומן ההיבט המעשי לשדה, המחקר מציף מאגר של פרקטיקות מוחשיות שגיבשו הגננות עצמן, ניטור יומי של חלוקת הקשב, כללים גלויים וצפויים, בדיקה מוקדמת של פעילויות למניעת בושה ושקיפות מוקדמת מול ההורים, פרקטיקות הניתנות להעברה ולהטמעה בגנים אחרים כפי שהן.</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rPr>
        <w:t>מן הממצאים והדיון עולות כמה הבנות מרכזיות, והמסר המרכזי העולה מהן הוא שהצדק בגן אינו אירוע חגיגי ואינו נושא לימוד נפרד, אלא דרך התנהלות יומיומית.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רביעית, ההתנהלות הצודקת אינה נעצרת בדלת הגן: היא נבחנת גם מול ההורים, ושם היא דורשת מן הגננת שילוב של הקשבה ושל עמידה איתנה על העיקרון.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jc w:val="both"/>
      </w:pPr>
      <w:r>
        <w:rPr>
          <w:rFonts w:ascii="David" w:hAnsi="David" w:cs="David"/>
          <w:noProof/>
          <w:color w:val="000000"/>
          <w:sz w:val="24"/>
          <w:szCs w:val="24"/>
          <w:rtl/>
        </w:rPr>
        <w:t>שתי מסקנות נוספות נוגעות לאופן היישום ולהשפעתו. באשר ליישום, מן הראיונות עולה כי התנהלות צודקת אינה מתרחשת מאליה גם אצל גננות מנוסות ומחויבות: היא דורשת מנגנונים מכוונים, כמו מעקב שיטתי אחר חלוקת הקשב, כללים גלויים ושקופים לחלוקת המשאבים, ובדיקה מוקדמת של כל פעילות בשאלה האם היא עלולה לחשוף מחסור של ילד. הצדק, במילים אחרות, הוא מלאכה שיש לה שיטות עבודה, ולא רק כוונה טובה. באשר להשפעה, הממצאים מלמדים כי ילדי הגן מסוגלים לרכוש את שפת ההוגנות בעצמם: כאשר הגננת מלמדת את ההבחנה בין שווה להוגן באופן מפורש, הילדים מאמצים אותה ומשתמשים בה במריבות היומיומיות שלהם. משמעות הדבר היא שההשקעה בהתנהלות צודקת אינה משפרת רק את האקלים הרגעי של הגן, אלא מניחה תשתית ערכית שהילדים נושאים איתם הלאה.</w:t>
      </w:r>
    </w:p>
    <w:p>
      <w:pPr>
        <w:bidi w:val="1"/>
        <w:spacing w:line="360" w:lineRule="auto" w:after="120"/>
        <w:jc w:val="both"/>
      </w:pPr>
      <w:r>
        <w:rPr>
          <w:rFonts w:ascii="David" w:hAnsi="David" w:cs="David"/>
          <w:noProof/>
          <w:color w:val="000000"/>
          <w:sz w:val="24"/>
          <w:szCs w:val="24"/>
          <w:rtl/>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ולצידם כללים גלויים וצפויים לחלוקת המשאבים הפיזיים, המוציאים את ההכרעה מידי הגננת ומפקידים אותה בידי סדר שקוף שהילדים שותפים לו. למוסדות ההכשרה ולהשתלמויות מוצע לשלב התייחסות מפורשת להבחנה בין שווה להוגן ולחלוקת המשאבים הרכים, ללוות גננות מתחילות בגיבוש שפה מקצועית בתחום, ולהיעזר בסיפורי מקרה מן השדה, מן הסוג שעלה בראיונות, כחומר לימוד חי. למערכת החינוך מוצע להכיר בגן כמרחב מצמצם פערים ולתמוך בכך במשאבים ובגיבוי, בייחוד בגנים הפועלים באוכלוסיות מוחלשות, שבהם הגננת ממלאת בפועל גם תפקיד של רשת ביטחון חברתית. ובקשר עם ההורים מוצע להקדים שקיפות: להציג את עקרון ההוגנות כבר בתחילת השנה, כדי לצמצם מתחים סביב דרישות ליחס מועדף ולבסס אמון.</w:t>
      </w:r>
    </w:p>
    <w:p>
      <w:pPr>
        <w:bidi w:val="1"/>
        <w:spacing w:line="360" w:lineRule="auto" w:after="120"/>
        <w:jc w:val="both"/>
      </w:pPr>
      <w:r>
        <w:rPr>
          <w:rFonts w:ascii="David" w:hAnsi="David" w:cs="David"/>
          <w:noProof/>
          <w:color w:val="000000"/>
          <w:sz w:val="24"/>
          <w:szCs w:val="24"/>
          <w:rtl/>
        </w:rPr>
        <w:t>לצד זאת יש לסייג. המחקר התבסס על מדגם קטן של שש גננות מאזור המרכז, נשי כולו וממגזר יהודי, ולכן אין להכליל מן הממצאים על כלל הגננות בישראל. המחקר נשען על דיווח עצמי בראיונות, שבו קיים חשש מובנה לרצייה חברתית, וייתכן פער בין התפיסות המוצהרות לבין הפרקטיקה בפועל; בהיעדר תצפיות לא ניתן היה לבחון פער זה (וראו הרחבה בסעיף 4.10). כמו כן, הניתוח נערך על ידי חוקרת יחידה, המצויה בעצמה בשדה הנחקר, על היתרונות והמגבלות הכרוכים בכך. לפיכך, מוצע במחקר עתידי להרחיב את המדגם לאזורים ולמגזרים נוספים ולכלול גם גננים, לשלב תצפיות בשדה לצד ראיונות כדי לבחון את היחס בין ההצהרה למעשה, לבחון את סוגיית הצדק בגן גם מנקודת מבטם של הילדים ושל ההורים, ולבדוק לאורך זמן את השפעתה של הכשרה ייעודית בנושא על הפרקטיקה בגן.</w:t>
      </w:r>
    </w:p>
    <w:p>
      <w:pPr>
        <w:bidi w:val="1"/>
        <w:spacing w:line="360" w:lineRule="auto" w:after="120"/>
        <w:jc w:val="both"/>
      </w:pPr>
      <w:r>
        <w:rPr>
          <w:rFonts w:ascii="David" w:hAnsi="David" w:cs="David"/>
          <w:noProof/>
          <w:color w:val="000000"/>
          <w:sz w:val="24"/>
          <w:szCs w:val="24"/>
          <w:rtl/>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מפעל שאין לו תקציב ואין לו טקסים, אבל יש לו פועלות מסורות, וששווה לתת לו שם, שפה ומקום של כבוד בשיח המקצועי.</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noProof/>
          <w:color w:val="000000"/>
          <w:sz w:val="24"/>
          <w:szCs w:val="24"/>
          <w:rtl/>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 גם עצם התהליך המחקרי הפתיע אותי. חששתי מן הראיונות, מהשאלה איך אגרום לגננות עסוקות לדבר איתי בפתיחות, וגיליתי שברגע ששאלתי על צדק, הן לא הפסיקו לדבר. הבנתי שהנושא הזה יושב להן על הלב, ושבעצם כמעט אף אחד לא שואל אותן עליו.</w:t>
      </w:r>
    </w:p>
    <w:p>
      <w:pPr>
        <w:bidi w:val="1"/>
        <w:spacing w:line="360" w:lineRule="auto"/>
        <w:ind/>
        <w:jc w:val="both"/>
      </w:pPr>
      <w:r>
        <w:rPr>
          <w:rFonts w:ascii="David" w:hAnsi="David" w:cs="David"/>
          <w:noProof/>
          <w:color w:val="000000"/>
          <w:sz w:val="24"/>
          <w:szCs w:val="24"/>
          <w:rtl/>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עקרון הצורך, צדק פרוצדורלי, שוויון הזדמנויות מהותי. ההבחנה בין חלוקה שווה לחלוקה הוגנת, שחזרה אצל כל הגננות שראיינתי, היא הרעיון שהכי נשאר איתי, ואני מוצאת את עצמי חושבת עליו עכשיו כמעט בכל החלטה בגן. מעבר לשפה, הקורס נתן לי גם כלים של חוקרת: למדתי לבנות מדריך ראיון, להקשיב בלי למהר להגיב, לקודד תשובות ולחלץ מהן קטגוריות, ולבסס כל טענה על ציטוט ועל מקור. אני מרגישה שגם הזהות המקצועית שלי השתנתה בעקבות התהליך: אני כבר לא רואה את עצמי רק כמי שמלמדת אותיות ומספרים, אלא כמי שאחראית על החברה הקטנה הראשונה שהילדים פוגשים בחייהם, ועל כך שהיא תהיה חברה הוגנת.</w:t>
      </w:r>
    </w:p>
    <w:p>
      <w:pPr>
        <w:bidi w:val="1"/>
        <w:spacing w:line="360" w:lineRule="auto"/>
        <w:ind/>
        <w:jc w:val="both"/>
      </w:pPr>
      <w:r>
        <w:rPr>
          <w:rFonts w:ascii="David" w:hAnsi="David" w:cs="David"/>
          <w:noProof/>
          <w:color w:val="000000"/>
          <w:sz w:val="24"/>
          <w:szCs w:val="24"/>
          <w:rtl/>
        </w:rPr>
        <w:t>מן העבודה למדתי גם דברים פחות מחמיאים על עצמי. גיליתי כמה קל להיסחף אחרי הילד שצועק חזק, וכמה מאמץ מודע צריך כדי לראות את הילד השקט. אימצתי לעצמי, עוד במהלך הכתיבה, את המנהג של אחת המרואיינות: לעבור בסוף היום על רשימת הילדים ולבדוק עם מי לא החלפתי היום מילה אמיתית. התובנה הזאת, שצדק דורש הנהלת חשבונות קטנה ויומיומית, היא אולי הדבר המעשי ביותר שלקחתי מן המחקר, והיא כבר משנה את סדר היום שלי בגן.</w:t>
      </w:r>
    </w:p>
    <w:p>
      <w:pPr>
        <w:bidi w:val="1"/>
        <w:spacing w:line="360" w:lineRule="auto"/>
        <w:jc w:val="both"/>
      </w:pPr>
      <w:r>
        <w:rPr>
          <w:rFonts w:ascii="David" w:hAnsi="David" w:cs="David"/>
          <w:noProof/>
          <w:color w:val="000000"/>
          <w:sz w:val="24"/>
          <w:szCs w:val="24"/>
          <w:rtl/>
        </w:rPr>
        <w:t>אשר לקורס עצמו, אם הייתי ממליצה על שינוי, הייתי מבקשת יותר זמן על שלב ניתוח הנתונים ובניית עץ הקטגוריות, שהיה החלק המאתגר והמלמד ביותר עבורי, והייתי מוסיפה תרגול של ראיון מלא אחד בכיתה לפני היציאה לשדה, כי החשש הגדול ביותר שלי היה דווקא מהראיון הראשון. הייתי שמחה גם למפגש שבו הסטודנטיות משתפות זו את זו בקטגוריות שעלו אצלן, כי גיליתי שדווקא ההשוואה בין ממצאים שונים מחדדת את החשיבה. בסך הכול, העבודה הזו לא רק לימדה אותי לחקור, היא גם הפכה אותי לגננת מודעת יותר, וזו בעיניי התרומה האמיתית שלה.</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טבלאות ניתוח הראיונות – טבלה 1 (ארגון התשובות בקידוד צבעים) וטבלה 2 (מיפוי הקטגוריות)</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jc w:val="right"/>
      </w:pPr>
      <w:r>
        <w:rPr>
          <w:rFonts w:ascii="David" w:hAnsi="David" w:cs="David"/>
          <w:b/>
          <w:bCs/>
          <w:noProof/>
          <w:color w:val="000000"/>
          <w:sz w:val="24"/>
          <w:szCs w:val="24"/>
          <w:rtl/>
        </w:rPr>
        <w:t>טבלה 2: מיפוי הקטגוריות הנחשפות מן הראיונות וקישורן לסקירת הספרות</w:t>
      </w:r>
    </w:p>
    <w:p>
      <w:pPr>
        <w:bidi w:val="1"/>
        <w:spacing w:line="360" w:lineRule="auto"/>
        <w:jc w:val="both"/>
      </w:pPr>
      <w:r>
        <w:rPr>
          <w:rFonts w:ascii="David" w:hAnsi="David" w:cs="David"/>
          <w:b w:val="0"/>
          <w:noProof/>
          <w:color w:val="000000"/>
          <w:sz w:val="24"/>
          <w:szCs w:val="24"/>
          <w:rtl/>
        </w:rPr>
        <w:t>להלן טבלת המיפוי של הקטגוריות הראשיות והמשניות שנחשפו מן הראיונות, בצירוף ציטוטים מייצגים והעיגון התיאורטי של כל קטגוריה בסקירת הספרות, כפי שנדרש בשלב השלישי של ניתוח הנתונים.</w:t>
      </w:r>
    </w:p>
    <w:tbl>
      <w:tblPr>
        <w:tblStyle w:val="TableGrid"/>
        <w:tblW w:type="auto" w:w="0"/>
        <w:tblLook w:firstColumn="1" w:firstRow="1" w:lastColumn="0" w:lastRow="0" w:noHBand="0" w:noVBand="1" w:val="04A0"/>
        <w:bidiVisual/>
      </w:tblPr>
      <w:tblGrid>
        <w:gridCol w:w="2340"/>
        <w:gridCol w:w="2340"/>
        <w:gridCol w:w="2340"/>
        <w:gridCol w:w="2340"/>
      </w:tblGrid>
      <w:tr>
        <w:tc>
          <w:tcPr>
            <w:tcW w:type="dxa" w:w="2340"/>
          </w:tcPr>
          <w:p>
            <w:pPr>
              <w:bidi w:val="1"/>
              <w:jc w:val="right"/>
            </w:pPr>
            <w:r>
              <w:rPr>
                <w:rFonts w:ascii="David" w:hAnsi="David" w:cs="David"/>
                <w:b/>
                <w:bCs/>
                <w:noProof/>
                <w:color w:val="000000"/>
                <w:sz w:val="22"/>
                <w:szCs w:val="22"/>
                <w:rtl/>
              </w:rPr>
              <w:t>קטגוריה ראשית</w:t>
            </w:r>
          </w:p>
        </w:tc>
        <w:tc>
          <w:tcPr>
            <w:tcW w:type="dxa" w:w="2340"/>
          </w:tcPr>
          <w:p>
            <w:pPr>
              <w:bidi w:val="1"/>
              <w:jc w:val="right"/>
            </w:pPr>
            <w:r>
              <w:rPr>
                <w:rFonts w:ascii="David" w:hAnsi="David" w:cs="David"/>
                <w:b/>
                <w:bCs/>
                <w:noProof/>
                <w:color w:val="000000"/>
                <w:sz w:val="22"/>
                <w:szCs w:val="22"/>
                <w:rtl/>
              </w:rPr>
              <w:t>קטגוריות משניות</w:t>
            </w:r>
          </w:p>
        </w:tc>
        <w:tc>
          <w:tcPr>
            <w:tcW w:type="dxa" w:w="2340"/>
          </w:tcPr>
          <w:p>
            <w:pPr>
              <w:bidi w:val="1"/>
              <w:jc w:val="right"/>
            </w:pPr>
            <w:r>
              <w:rPr>
                <w:rFonts w:ascii="David" w:hAnsi="David" w:cs="David"/>
                <w:b/>
                <w:bCs/>
                <w:noProof/>
                <w:color w:val="000000"/>
                <w:sz w:val="22"/>
                <w:szCs w:val="22"/>
                <w:rtl/>
              </w:rPr>
              <w:t>ציטוטים/נתונים מייצגים</w:t>
            </w:r>
          </w:p>
        </w:tc>
        <w:tc>
          <w:tcPr>
            <w:tcW w:type="dxa" w:w="2340"/>
          </w:tcPr>
          <w:p>
            <w:pPr>
              <w:bidi w:val="1"/>
              <w:jc w:val="right"/>
            </w:pPr>
            <w:r>
              <w:rPr>
                <w:rFonts w:ascii="David" w:hAnsi="David" w:cs="David"/>
                <w:b/>
                <w:bCs/>
                <w:noProof/>
                <w:color w:val="000000"/>
                <w:sz w:val="22"/>
                <w:szCs w:val="22"/>
                <w:rtl/>
              </w:rPr>
              <w:t>עיגון בסקירת הספרות</w:t>
            </w:r>
          </w:p>
        </w:tc>
      </w:tr>
      <w:tr>
        <w:tc>
          <w:tcPr>
            <w:tcW w:type="dxa" w:w="2340"/>
          </w:tcPr>
          <w:p>
            <w:pPr>
              <w:bidi w:val="1"/>
              <w:jc w:val="right"/>
            </w:pPr>
            <w:r>
              <w:rPr>
                <w:rFonts w:ascii="David" w:hAnsi="David" w:cs="David"/>
                <w:b w:val="0"/>
                <w:noProof/>
                <w:color w:val="000000"/>
                <w:sz w:val="22"/>
                <w:szCs w:val="22"/>
                <w:rtl/>
              </w:rPr>
              <w:t>תפיסת המונח "צדק בגן"</w:t>
            </w:r>
          </w:p>
        </w:tc>
        <w:tc>
          <w:tcPr>
            <w:tcW w:type="dxa" w:w="2340"/>
          </w:tcPr>
          <w:p>
            <w:pPr>
              <w:bidi w:val="1"/>
              <w:jc w:val="right"/>
            </w:pPr>
            <w:r>
              <w:rPr>
                <w:rFonts w:ascii="David" w:hAnsi="David" w:cs="David"/>
                <w:b w:val="0"/>
                <w:noProof/>
                <w:color w:val="000000"/>
                <w:sz w:val="22"/>
                <w:szCs w:val="22"/>
                <w:rtl/>
              </w:rPr>
              <w:t>ראיית הילד הבודד ומענה לצרכיו; שוויון הזדמנויות וצמצום פערים; הקשבה וניהול מתחים בין צרכים</w:t>
            </w:r>
          </w:p>
        </w:tc>
        <w:tc>
          <w:tcPr>
            <w:tcW w:type="dxa" w:w="2340"/>
          </w:tcPr>
          <w:p>
            <w:pPr>
              <w:bidi w:val="1"/>
              <w:jc w:val="right"/>
            </w:pPr>
            <w:r>
              <w:rPr>
                <w:rFonts w:ascii="David" w:hAnsi="David" w:cs="David"/>
                <w:b w:val="0"/>
                <w:noProof/>
                <w:color w:val="000000"/>
                <w:sz w:val="22"/>
                <w:szCs w:val="22"/>
                <w:rtl/>
              </w:rPr>
              <w:t>"צדק בגן זה להכיר כל ילד ולתת לו את מה שהוא צריך" (מרואיינת 4); "צדק של מי" (מרואיינת 5)</w:t>
            </w:r>
          </w:p>
        </w:tc>
        <w:tc>
          <w:tcPr>
            <w:tcW w:type="dxa" w:w="2340"/>
          </w:tcPr>
          <w:p>
            <w:pPr>
              <w:bidi w:val="1"/>
              <w:jc w:val="right"/>
            </w:pPr>
            <w:r>
              <w:rPr>
                <w:rFonts w:ascii="David" w:hAnsi="David" w:cs="David"/>
                <w:b w:val="0"/>
                <w:noProof/>
                <w:color w:val="000000"/>
                <w:sz w:val="22"/>
                <w:szCs w:val="22"/>
                <w:rtl/>
              </w:rPr>
              <w:t>Connell (1993); סבג וביברמן-שלו (2014); דהאן (2010); Horan ואחרים (2010)</w:t>
            </w:r>
          </w:p>
        </w:tc>
      </w:tr>
      <w:tr>
        <w:tc>
          <w:tcPr>
            <w:tcW w:type="dxa" w:w="2340"/>
          </w:tcPr>
          <w:p>
            <w:pPr>
              <w:bidi w:val="1"/>
              <w:jc w:val="right"/>
            </w:pPr>
            <w:r>
              <w:rPr>
                <w:rFonts w:ascii="David" w:hAnsi="David" w:cs="David"/>
                <w:b w:val="0"/>
                <w:noProof/>
                <w:color w:val="000000"/>
                <w:sz w:val="22"/>
                <w:szCs w:val="22"/>
                <w:rtl/>
              </w:rPr>
              <w:t>חלוקת משאב תשומת הלב הרגשית</w:t>
            </w:r>
          </w:p>
        </w:tc>
        <w:tc>
          <w:tcPr>
            <w:tcW w:type="dxa" w:w="2340"/>
          </w:tcPr>
          <w:p>
            <w:pPr>
              <w:bidi w:val="1"/>
              <w:jc w:val="right"/>
            </w:pPr>
            <w:r>
              <w:rPr>
                <w:rFonts w:ascii="David" w:hAnsi="David" w:cs="David"/>
                <w:b w:val="0"/>
                <w:noProof/>
                <w:color w:val="000000"/>
                <w:sz w:val="22"/>
                <w:szCs w:val="22"/>
                <w:rtl/>
              </w:rPr>
              <w:t>חלוקה לפי עיקרון הצורך; הילד השקט והעוול הסמוי; שיטתיות ומודעות בחלוקת הקשב</w:t>
            </w:r>
          </w:p>
        </w:tc>
        <w:tc>
          <w:tcPr>
            <w:tcW w:type="dxa" w:w="2340"/>
          </w:tcPr>
          <w:p>
            <w:pPr>
              <w:bidi w:val="1"/>
              <w:jc w:val="right"/>
            </w:pPr>
            <w:r>
              <w:rPr>
                <w:rFonts w:ascii="David" w:hAnsi="David" w:cs="David"/>
                <w:b w:val="0"/>
                <w:noProof/>
                <w:color w:val="000000"/>
                <w:sz w:val="22"/>
                <w:szCs w:val="22"/>
                <w:rtl/>
              </w:rPr>
              <w:t>"לתת יותר בלי לגזול" (מרואיינת 2); "הילדים הרגועים משלמים מחיר על השקט שלהם" (מרואיינת 3)</w:t>
            </w:r>
          </w:p>
        </w:tc>
        <w:tc>
          <w:tcPr>
            <w:tcW w:type="dxa" w:w="2340"/>
          </w:tcPr>
          <w:p>
            <w:pPr>
              <w:bidi w:val="1"/>
              <w:jc w:val="right"/>
            </w:pPr>
            <w:r>
              <w:rPr>
                <w:rFonts w:ascii="David" w:hAnsi="David" w:cs="David"/>
                <w:b w:val="0"/>
                <w:noProof/>
                <w:color w:val="000000"/>
                <w:sz w:val="22"/>
                <w:szCs w:val="22"/>
                <w:rtl/>
              </w:rPr>
              <w:t>Deutsch (1985); Jiang ואחרים (2018); קרמרסקי ורש (2004)</w:t>
            </w:r>
          </w:p>
        </w:tc>
      </w:tr>
      <w:tr>
        <w:tc>
          <w:tcPr>
            <w:tcW w:type="dxa" w:w="2340"/>
          </w:tcPr>
          <w:p>
            <w:pPr>
              <w:bidi w:val="1"/>
              <w:jc w:val="right"/>
            </w:pPr>
            <w:r>
              <w:rPr>
                <w:rFonts w:ascii="David" w:hAnsi="David" w:cs="David"/>
                <w:b w:val="0"/>
                <w:noProof/>
                <w:color w:val="000000"/>
                <w:sz w:val="22"/>
                <w:szCs w:val="22"/>
                <w:rtl/>
              </w:rPr>
              <w:t>ההבחנה בין חלוקה שווה לחלוקה הוגנת</w:t>
            </w:r>
          </w:p>
        </w:tc>
        <w:tc>
          <w:tcPr>
            <w:tcW w:type="dxa" w:w="2340"/>
          </w:tcPr>
          <w:p>
            <w:pPr>
              <w:bidi w:val="1"/>
              <w:jc w:val="right"/>
            </w:pPr>
            <w:r>
              <w:rPr>
                <w:rFonts w:ascii="David" w:hAnsi="David" w:cs="David"/>
                <w:b w:val="0"/>
                <w:noProof/>
                <w:color w:val="000000"/>
                <w:sz w:val="22"/>
                <w:szCs w:val="22"/>
                <w:rtl/>
              </w:rPr>
              <w:t>ההבחנה העקרונית ויישומיה; הנחלת ההבחנה לילדים</w:t>
            </w:r>
          </w:p>
        </w:tc>
        <w:tc>
          <w:tcPr>
            <w:tcW w:type="dxa" w:w="2340"/>
          </w:tcPr>
          <w:p>
            <w:pPr>
              <w:bidi w:val="1"/>
              <w:jc w:val="right"/>
            </w:pPr>
            <w:r>
              <w:rPr>
                <w:rFonts w:ascii="David" w:hAnsi="David" w:cs="David"/>
                <w:b w:val="0"/>
                <w:noProof/>
                <w:color w:val="000000"/>
                <w:sz w:val="22"/>
                <w:szCs w:val="22"/>
                <w:rtl/>
              </w:rPr>
              <w:t>"חלוקה הוגנת זה לתת את המעילים למי שאין לו" (מרואיינת 6); "תן לו עוד ארגז" (מרואיינת 3)</w:t>
            </w:r>
          </w:p>
        </w:tc>
        <w:tc>
          <w:tcPr>
            <w:tcW w:type="dxa" w:w="2340"/>
          </w:tcPr>
          <w:p>
            <w:pPr>
              <w:bidi w:val="1"/>
              <w:jc w:val="right"/>
            </w:pPr>
            <w:r>
              <w:rPr>
                <w:rFonts w:ascii="David" w:hAnsi="David" w:cs="David"/>
                <w:b w:val="0"/>
                <w:noProof/>
                <w:color w:val="000000"/>
                <w:sz w:val="22"/>
                <w:szCs w:val="22"/>
                <w:rtl/>
              </w:rPr>
              <w:t>דהאן (2010); Grütter ואחרים (2024); Elenbaas &amp; Mistry (2021)</w:t>
            </w:r>
          </w:p>
        </w:tc>
      </w:tr>
      <w:tr>
        <w:tc>
          <w:tcPr>
            <w:tcW w:type="dxa" w:w="2340"/>
          </w:tcPr>
          <w:p>
            <w:pPr>
              <w:bidi w:val="1"/>
              <w:jc w:val="right"/>
            </w:pPr>
            <w:r>
              <w:rPr>
                <w:rFonts w:ascii="David" w:hAnsi="David" w:cs="David"/>
                <w:b w:val="0"/>
                <w:noProof/>
                <w:color w:val="000000"/>
                <w:sz w:val="22"/>
                <w:szCs w:val="22"/>
                <w:rtl/>
              </w:rPr>
              <w:t>חלוקת המשאבים הפיזיים והמרחב הקבוצתי</w:t>
            </w:r>
          </w:p>
        </w:tc>
        <w:tc>
          <w:tcPr>
            <w:tcW w:type="dxa" w:w="2340"/>
          </w:tcPr>
          <w:p>
            <w:pPr>
              <w:bidi w:val="1"/>
              <w:jc w:val="right"/>
            </w:pPr>
            <w:r>
              <w:rPr>
                <w:rFonts w:ascii="David" w:hAnsi="David" w:cs="David"/>
                <w:b w:val="0"/>
                <w:noProof/>
                <w:color w:val="000000"/>
                <w:sz w:val="22"/>
                <w:szCs w:val="22"/>
                <w:rtl/>
              </w:rPr>
              <w:t>שקיפות, תור וצפיות; הכלל הגלוי והשתתפות הילדים; איזון המרחב והתמודדות עם הדרה</w:t>
            </w:r>
          </w:p>
        </w:tc>
        <w:tc>
          <w:tcPr>
            <w:tcW w:type="dxa" w:w="2340"/>
          </w:tcPr>
          <w:p>
            <w:pPr>
              <w:bidi w:val="1"/>
              <w:jc w:val="right"/>
            </w:pPr>
            <w:r>
              <w:rPr>
                <w:rFonts w:ascii="David" w:hAnsi="David" w:cs="David"/>
                <w:b w:val="0"/>
                <w:noProof/>
                <w:color w:val="000000"/>
                <w:sz w:val="22"/>
                <w:szCs w:val="22"/>
                <w:rtl/>
              </w:rPr>
              <w:t>"ברגע שהוא רואה את השם שלו על הלוח, הוא רגוע" (מרואיינת 2); "זה לא אני שמחליטה, זה הטיימר" (מרואיינת 3)</w:t>
            </w:r>
          </w:p>
        </w:tc>
        <w:tc>
          <w:tcPr>
            <w:tcW w:type="dxa" w:w="2340"/>
          </w:tcPr>
          <w:p>
            <w:pPr>
              <w:bidi w:val="1"/>
              <w:jc w:val="right"/>
            </w:pPr>
            <w:r>
              <w:rPr>
                <w:rFonts w:ascii="David" w:hAnsi="David" w:cs="David"/>
                <w:b w:val="0"/>
                <w:noProof/>
                <w:color w:val="000000"/>
                <w:sz w:val="22"/>
                <w:szCs w:val="22"/>
                <w:rtl/>
              </w:rPr>
              <w:t>Jiang ואחרים (2018); Lee ואחרים (2022); Lang ואחרים (2024)</w:t>
            </w:r>
          </w:p>
        </w:tc>
      </w:tr>
      <w:tr>
        <w:tc>
          <w:tcPr>
            <w:tcW w:type="dxa" w:w="2340"/>
          </w:tcPr>
          <w:p>
            <w:pPr>
              <w:bidi w:val="1"/>
              <w:jc w:val="right"/>
            </w:pPr>
            <w:r>
              <w:rPr>
                <w:rFonts w:ascii="David" w:hAnsi="David" w:cs="David"/>
                <w:b w:val="0"/>
                <w:noProof/>
                <w:color w:val="000000"/>
                <w:sz w:val="22"/>
                <w:szCs w:val="22"/>
                <w:rtl/>
              </w:rPr>
              <w:t>צדק חברתי-כלכלי ומניעת בושה</w:t>
            </w:r>
          </w:p>
        </w:tc>
        <w:tc>
          <w:tcPr>
            <w:tcW w:type="dxa" w:w="2340"/>
          </w:tcPr>
          <w:p>
            <w:pPr>
              <w:bidi w:val="1"/>
              <w:jc w:val="right"/>
            </w:pPr>
            <w:r>
              <w:rPr>
                <w:rFonts w:ascii="David" w:hAnsi="David" w:cs="David"/>
                <w:b w:val="0"/>
                <w:noProof/>
                <w:color w:val="000000"/>
                <w:sz w:val="22"/>
                <w:szCs w:val="22"/>
                <w:rtl/>
              </w:rPr>
              <w:t>מניעת בושה כערך מארגן; הגן כמרחב מתקן</w:t>
            </w:r>
          </w:p>
        </w:tc>
        <w:tc>
          <w:tcPr>
            <w:tcW w:type="dxa" w:w="2340"/>
          </w:tcPr>
          <w:p>
            <w:pPr>
              <w:bidi w:val="1"/>
              <w:jc w:val="right"/>
            </w:pPr>
            <w:r>
              <w:rPr>
                <w:rFonts w:ascii="David" w:hAnsi="David" w:cs="David"/>
                <w:b w:val="0"/>
                <w:noProof/>
                <w:color w:val="000000"/>
                <w:sz w:val="22"/>
                <w:szCs w:val="22"/>
                <w:rtl/>
              </w:rPr>
              <w:t>"מי כאן עלול להתבייש היום" (מרואיינת 4); "אני מביאה את העולם אל תוך הגן" (מרואיינת 6)</w:t>
            </w:r>
          </w:p>
        </w:tc>
        <w:tc>
          <w:tcPr>
            <w:tcW w:type="dxa" w:w="2340"/>
          </w:tcPr>
          <w:p>
            <w:pPr>
              <w:bidi w:val="1"/>
              <w:jc w:val="right"/>
            </w:pPr>
            <w:r>
              <w:rPr>
                <w:rFonts w:ascii="David" w:hAnsi="David" w:cs="David"/>
                <w:b w:val="0"/>
                <w:noProof/>
                <w:color w:val="000000"/>
                <w:sz w:val="22"/>
                <w:szCs w:val="22"/>
                <w:rtl/>
              </w:rPr>
              <w:t>אדלר ובלס (2009); משרד החינוך (2010); Elenbaas &amp; Mistry (2021)</w:t>
            </w:r>
          </w:p>
        </w:tc>
      </w:tr>
      <w:tr>
        <w:tc>
          <w:tcPr>
            <w:tcW w:type="dxa" w:w="2340"/>
          </w:tcPr>
          <w:p>
            <w:pPr>
              <w:bidi w:val="1"/>
              <w:jc w:val="right"/>
            </w:pPr>
            <w:r>
              <w:rPr>
                <w:rFonts w:ascii="David" w:hAnsi="David" w:cs="David"/>
                <w:b w:val="0"/>
                <w:noProof/>
                <w:color w:val="000000"/>
                <w:sz w:val="22"/>
                <w:szCs w:val="22"/>
                <w:rtl/>
              </w:rPr>
              <w:t>הגננת כסוכנת צדק וכמחנכת ערכים</w:t>
            </w:r>
          </w:p>
        </w:tc>
        <w:tc>
          <w:tcPr>
            <w:tcW w:type="dxa" w:w="2340"/>
          </w:tcPr>
          <w:p>
            <w:pPr>
              <w:bidi w:val="1"/>
              <w:jc w:val="right"/>
            </w:pPr>
            <w:r>
              <w:rPr>
                <w:rFonts w:ascii="David" w:hAnsi="David" w:cs="David"/>
                <w:b w:val="0"/>
                <w:noProof/>
                <w:color w:val="000000"/>
                <w:sz w:val="22"/>
                <w:szCs w:val="22"/>
                <w:rtl/>
              </w:rPr>
              <w:t>דוגמה אישית כדרך המלך; שליחות, ותק ושונות בין הגננות</w:t>
            </w:r>
          </w:p>
        </w:tc>
        <w:tc>
          <w:tcPr>
            <w:tcW w:type="dxa" w:w="2340"/>
          </w:tcPr>
          <w:p>
            <w:pPr>
              <w:bidi w:val="1"/>
              <w:jc w:val="right"/>
            </w:pPr>
            <w:r>
              <w:rPr>
                <w:rFonts w:ascii="David" w:hAnsi="David" w:cs="David"/>
                <w:b w:val="0"/>
                <w:noProof/>
                <w:color w:val="000000"/>
                <w:sz w:val="22"/>
                <w:szCs w:val="22"/>
                <w:rtl/>
              </w:rPr>
              <w:t>"ילדים לומדים צדק מדוגמה אישית, לא מהטפה" (מרואיינת 1); "זה לא מקצוע, זו שליחות" (מרואיינת 6)</w:t>
            </w:r>
          </w:p>
        </w:tc>
        <w:tc>
          <w:tcPr>
            <w:tcW w:type="dxa" w:w="2340"/>
          </w:tcPr>
          <w:p>
            <w:pPr>
              <w:bidi w:val="1"/>
              <w:jc w:val="right"/>
            </w:pPr>
            <w:r>
              <w:rPr>
                <w:rFonts w:ascii="David" w:hAnsi="David" w:cs="David"/>
                <w:b w:val="0"/>
                <w:noProof/>
                <w:color w:val="000000"/>
                <w:sz w:val="22"/>
                <w:szCs w:val="22"/>
                <w:rtl/>
              </w:rPr>
              <w:t>Solehuddin &amp; Adriany (2017); מכללת סמינר הקיבוצים (2018); Ryan &amp; Grieshaber (2024)</w:t>
            </w:r>
          </w:p>
        </w:tc>
      </w:tr>
      <w:tr>
        <w:tc>
          <w:tcPr>
            <w:tcW w:type="dxa" w:w="2340"/>
          </w:tcPr>
          <w:p>
            <w:pPr>
              <w:bidi w:val="1"/>
              <w:jc w:val="right"/>
            </w:pPr>
            <w:r>
              <w:rPr>
                <w:rFonts w:ascii="David" w:hAnsi="David" w:cs="David"/>
                <w:b w:val="0"/>
                <w:noProof/>
                <w:color w:val="000000"/>
                <w:sz w:val="22"/>
                <w:szCs w:val="22"/>
                <w:rtl/>
              </w:rPr>
              <w:t>צדק ביחסי גננת-הורים</w:t>
            </w:r>
          </w:p>
        </w:tc>
        <w:tc>
          <w:tcPr>
            <w:tcW w:type="dxa" w:w="2340"/>
          </w:tcPr>
          <w:p>
            <w:pPr>
              <w:bidi w:val="1"/>
              <w:jc w:val="right"/>
            </w:pPr>
            <w:r>
              <w:rPr>
                <w:rFonts w:ascii="David" w:hAnsi="David" w:cs="David"/>
                <w:b w:val="0"/>
                <w:noProof/>
                <w:color w:val="000000"/>
                <w:sz w:val="22"/>
                <w:szCs w:val="22"/>
                <w:rtl/>
              </w:rPr>
              <w:t>התמודדות עם דרישות ליחס מועדף; שיתוף הורים ושקיפות</w:t>
            </w:r>
          </w:p>
        </w:tc>
        <w:tc>
          <w:tcPr>
            <w:tcW w:type="dxa" w:w="2340"/>
          </w:tcPr>
          <w:p>
            <w:pPr>
              <w:bidi w:val="1"/>
              <w:jc w:val="right"/>
            </w:pPr>
            <w:r>
              <w:rPr>
                <w:rFonts w:ascii="David" w:hAnsi="David" w:cs="David"/>
                <w:b w:val="0"/>
                <w:noProof/>
                <w:color w:val="000000"/>
                <w:sz w:val="22"/>
                <w:szCs w:val="22"/>
                <w:rtl/>
              </w:rPr>
              <w:t>"אני רוצה שהבן שלי יישב תמיד קרוב אלייך" (דברי אם, מרואיינת 1); "אני משתפת הורים, בעיקר דרך מעשים ולא הרצאות" (מרואיינת 2)</w:t>
            </w:r>
          </w:p>
        </w:tc>
        <w:tc>
          <w:tcPr>
            <w:tcW w:type="dxa" w:w="2340"/>
          </w:tcPr>
          <w:p>
            <w:pPr>
              <w:bidi w:val="1"/>
              <w:jc w:val="right"/>
            </w:pPr>
            <w:r>
              <w:rPr>
                <w:rFonts w:ascii="David" w:hAnsi="David" w:cs="David"/>
                <w:b w:val="0"/>
                <w:noProof/>
                <w:color w:val="000000"/>
                <w:sz w:val="22"/>
                <w:szCs w:val="22"/>
                <w:rtl/>
              </w:rPr>
              <w:t>אדרי (2021); לוי ואחרים (2023); מכללת סמינר הקיבוצים (2018)</w:t>
            </w:r>
          </w:p>
        </w:tc>
      </w:tr>
    </w:tbl>
    <w:p>
      <w:pPr>
        <w:bidi w:val="1"/>
      </w:pP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