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 שתיהן מוכרות במשפט העבודה הקיבוצי בישראל (בן-ישראל, 2002; הילדסהימר, 2026ג). הזכות הראשונה מעוגנת ב</w:t>
      </w:r>
      <w:r>
        <w:rPr>
          <w:b/>
          <w:sz w:val="24"/>
          <w:rtl/>
          <w:szCs w:val="24"/>
          <w:bCs/>
        </w:rPr>
        <w:t>סעיף 33ח לחוק הסכמים קיבוציים, התשי"ז-1957</w:t>
      </w:r>
      <w:r>
        <w:rPr>
          <w:sz w:val="24"/>
          <w:rtl/>
          <w:szCs w:val="24"/>
        </w:rPr>
        <w:t>,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בג"ץ 7029/95 הסתדרות העובדים הכללית החדשה נ' בית הדין הארצי לעבודה (עניין עמית, 1997)</w:t>
      </w:r>
      <w:r>
        <w:rPr>
          <w:sz w:val="24"/>
          <w:rtl/>
          <w:szCs w:val="24"/>
        </w:rPr>
        <w:t xml:space="preserve">. ארבעה מבחנים נקבעו שם. </w:t>
      </w:r>
      <w:r>
        <w:rPr>
          <w:b/>
          <w:sz w:val="24"/>
          <w:rtl/>
          <w:szCs w:val="24"/>
          <w:bCs/>
        </w:rPr>
        <w:t>מבחן החברות</w:t>
      </w:r>
      <w:r>
        <w:rPr>
          <w:sz w:val="24"/>
          <w:rtl/>
          <w:szCs w:val="24"/>
        </w:rPr>
        <w:t xml:space="preserve">: מרבית החברים הם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מטרתו המרכזית היא קידום זכויותיהם התעסוקתיות של העובדים מול המעסיק. </w:t>
      </w:r>
      <w:r>
        <w:rPr>
          <w:b/>
          <w:sz w:val="24"/>
          <w:rtl/>
          <w:szCs w:val="24"/>
          <w:bCs/>
        </w:rPr>
        <w:t>מבחן ההתארגנות</w:t>
      </w:r>
      <w:r>
        <w:rPr>
          <w:sz w:val="24"/>
          <w:rtl/>
          <w:szCs w:val="24"/>
        </w:rPr>
        <w:t xml:space="preserve">: התארגנות יציבה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שני המבחנים הראשונים מתקיימים. חברי הקבוצה הם עובדי החברה שהצטרפו מרצונם, ולקבוצה תקנון הקובע מטרות וסמכויות. הקושי מתעורר בשני המבחנים האחרים, ובית הדין בוחן אותם לפי המהות ולא לפי הכותרות שבתקנון.</w:t>
      </w:r>
    </w:p>
    <w:p>
      <w:pPr>
        <w:bidi/>
        <w:spacing w:before="0" w:after="0"/>
        <w:jc w:val="both"/>
      </w:pPr>
      <w:r>
        <w:rPr>
          <w:b/>
          <w:sz w:val="24"/>
          <w:rtl/>
          <w:szCs w:val="24"/>
          <w:bCs/>
        </w:rPr>
        <w:t>מבחן המטרה.</w:t>
      </w:r>
      <w:r>
        <w:rPr>
          <w:sz w:val="24"/>
          <w:rtl/>
          <w:szCs w:val="24"/>
        </w:rPr>
        <w:t xml:space="preserve"> סעיף הסמכויות מקנה לקבוצה סמכות לנהל משא ומתן, לאשר הסכמים קיבוציים ולהכריז על סכסוך עבודה. אולם סעיף המטרות, ובפרט </w:t>
      </w:r>
      <w:r>
        <w:rPr>
          <w:b/>
          <w:sz w:val="24"/>
          <w:rtl/>
          <w:szCs w:val="24"/>
          <w:bCs/>
        </w:rPr>
        <w:t>מטרה ד'</w:t>
      </w:r>
      <w:r>
        <w:rPr>
          <w:sz w:val="24"/>
          <w:rtl/>
          <w:szCs w:val="24"/>
        </w:rPr>
        <w:t xml:space="preserve">, מוציא מראש מתחום הפעולה הקיבוצית את השכר, הבונוסים והאופציות, שהם ליבת תנאי העבודה בחברת טכנולוגיה. גוף כזה אינו מקדם את זכויות העובדים מול המעסיק.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משפטית: לפי </w:t>
      </w:r>
      <w:r>
        <w:rPr>
          <w:b/>
          <w:sz w:val="24"/>
          <w:rtl/>
          <w:szCs w:val="24"/>
          <w:bCs/>
        </w:rPr>
        <w:t>סעיף 22 לחוק</w:t>
      </w:r>
      <w:r>
        <w:rPr>
          <w:sz w:val="24"/>
          <w:rtl/>
          <w:szCs w:val="24"/>
        </w:rPr>
        <w:t>, הוראה בחוזה אישי שהיא לטובת העובד גוברת על ההסכם הקיבוצי, אלא אם ההסכם מונע זאת במפורש. הסכם קיבוצי קובע רצפה ואינו שולל תנאים אישיים טובים יותר. מכאן שמטרה ד' אינה משקפת חשש אמיתי, אלא התנגדות עקרונית לייצוג קיבוצי בתנאים המהותיים.</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המנכ"ל בירך על הקמתה וראה בה דרך לשמור על "התרבות הייחודית של החברה", ובמקביל פעל נגד ההסתדרות. גוף שהמעסיק תומך בו כך אינו "קול נגדי" לו.</w:t>
      </w:r>
    </w:p>
    <w:p>
      <w:pPr>
        <w:bidi/>
        <w:spacing w:before="0" w:after="0"/>
        <w:jc w:val="both"/>
      </w:pPr>
      <w:r>
        <w:rPr>
          <w:b/>
          <w:sz w:val="24"/>
          <w:rtl/>
          <w:szCs w:val="24"/>
          <w:bCs/>
        </w:rPr>
        <w:t>עניין נוקיה.</w:t>
      </w:r>
      <w:r>
        <w:rPr>
          <w:sz w:val="24"/>
          <w:rtl/>
          <w:szCs w:val="24"/>
        </w:rPr>
        <w:t xml:space="preserve"> ב</w:t>
      </w:r>
      <w:r>
        <w:rPr>
          <w:b/>
          <w:sz w:val="24"/>
          <w:rtl/>
          <w:szCs w:val="24"/>
          <w:bCs/>
        </w:rPr>
        <w:t>עס"ק (ארצי) 6298-03-25 הסתדרות העובדים הכללית החדשה נ' ארגון עובדי הפיתוח והשיווק בנוקיה (10.6.2025)</w:t>
      </w:r>
      <w:r>
        <w:rPr>
          <w:sz w:val="24"/>
          <w:rtl/>
          <w:szCs w:val="24"/>
        </w:rPr>
        <w:t xml:space="preserve"> יישם בית הדין הארצי את מבחני עניין עמית על גוף שהקימו עובדי חברת טכנולוגיה כחלופה להסתדרות, ושמסמכי היסוד שלו הותירו את ענייני השכר והתגמול לחוזים האישיים. בית הדין קבע כי גוף כזה אינו עומד במבחן המטרה ואינו ארגון עובדים. המסקנה חלה גם כאן.</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אבל חופש זה אינו הופך את הקבוצה לארגון עובדים. חבריה אינם נספרים לצורך היציגות, והיא אינה יכולה לדרוש משא ומתן קיבוצי או לחתום על הסכם קיבוצי.</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עס"ק (ארצי) 25476-09-12 הסתדרות העובדים החדשה נ' פלאפון תקשורת בע"מ (2.1.2013)</w:t>
      </w:r>
      <w:r>
        <w:rPr>
          <w:sz w:val="24"/>
          <w:rtl/>
          <w:szCs w:val="24"/>
        </w:rPr>
        <w:t xml:space="preserve"> איזן בית הדין בין חופש הביטוי של המעסיק לבין חופש ההתארגנות של העובדים, והבחין בין שלב </w:t>
      </w:r>
      <w:r>
        <w:rPr>
          <w:b/>
          <w:sz w:val="24"/>
          <w:rtl/>
          <w:szCs w:val="24"/>
          <w:bCs/>
        </w:rPr>
        <w:t>ההתארגנות הפורצת</w:t>
      </w:r>
      <w:r>
        <w:rPr>
          <w:sz w:val="24"/>
          <w:rtl/>
          <w:szCs w:val="24"/>
        </w:rPr>
        <w:t xml:space="preserve"> לבין שלב שבו כבר קיים ארגון יציג. בשלב הראשון על המעסיק להימנע מהצגת עמדתו בנוגע להתארגנות, בכנסים, ב</w:t>
      </w:r>
      <w:r>
        <w:rPr>
          <w:b/>
          <w:sz w:val="24"/>
          <w:rtl/>
          <w:szCs w:val="24"/>
          <w:bCs/>
        </w:rPr>
        <w:t>מפגשים אישיים או קבוצתיים</w:t>
      </w:r>
      <w:r>
        <w:rPr>
          <w:sz w:val="24"/>
          <w:rtl/>
          <w:szCs w:val="24"/>
        </w:rPr>
        <w:t xml:space="preserve"> ובתכתובות אלקטרוניות. נקבע גם כי הצגת חסרונות ההצטרפות לארגון עובדים והשלכותיה על החברה היא הבעת עמדה אסורה, גם אם יש בה אמת.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שנועד להעביר את עמדת ההנהלה, ובית הדין אסר עליו במפורש. חומרתה רבה במיוחד משום שמדובר במנהלים המשפיעים על הבונוסים, האופציות והקידום של אותם עובדים. </w:t>
      </w:r>
      <w:r>
        <w:rPr>
          <w:b/>
          <w:sz w:val="24"/>
          <w:rtl/>
          <w:szCs w:val="24"/>
          <w:bCs/>
        </w:rPr>
        <w:t>הפגישה עם הקבוצה ודברי השבח</w:t>
      </w:r>
      <w:r>
        <w:rPr>
          <w:sz w:val="24"/>
          <w:rtl/>
          <w:szCs w:val="24"/>
        </w:rPr>
        <w:t xml:space="preserve"> כלפיה מעבירים לעובדים את אותו מסר בדרך עקיפה: ההנהלה מעדיפה את הקבוצה על פני ההסתדרות.</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עומדת במבחני החברות והתקנון של עניין עמית, אך לא במבחן המטרה ולא במבחן הקול הנגדי, כפי שנפסק בנסיבות דומות בעניין נוקיה. פעולות ההנהלה הפרו את האיסור על הבעת עמדה בשלב ההתארגנות הפורצת שנקבע בעניין פלאפון.</w:t>
      </w:r>
    </w:p>
    <w:p>
      <w:r>
        <w:br w:type="page"/>
      </w:r>
    </w:p>
    <w:p>
      <w:pPr>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 התשנ"ח-1998</w:t>
      </w:r>
      <w:r>
        <w:rPr>
          <w:sz w:val="24"/>
          <w:rtl/>
          <w:szCs w:val="24"/>
        </w:rPr>
        <w:t xml:space="preserve">, נועד להגן על כבודו של אדם, על חירותו ועל פרטיותו ולקדם שוויון בין המינים (סעיף 1; הילדסהימר, 2026ב). מבין החלופות שבסעיף 3(א), הרלוונטית לענייננו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 החלופה של הצעות חוזרות בעלות אופי מיני (סעיף 3(א)(3)) אינה חלה, משום שדנה לא הציעה לאורי דבר. גם סעיף 3(א)(5), התייחסות מבזה או משפילה ביחס לנטייה המינית, אינו חל, שכן השאלה על נטייתו של אורי לא נשאלה בדרך מבזה.</w:t>
      </w:r>
    </w:p>
    <w:p>
      <w:pPr>
        <w:bidi/>
        <w:spacing w:before="0" w:after="0"/>
        <w:jc w:val="both"/>
      </w:pPr>
      <w:r>
        <w:rPr>
          <w:sz w:val="24"/>
          <w:rtl/>
          <w:szCs w:val="24"/>
        </w:rPr>
        <w:t>לפי החלופה הכללית, ההטרדה לא הוכחה. אורי לא הראה בתחילה שאינו מעוניין: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w:t>
      </w:r>
      <w:r>
        <w:rPr>
          <w:sz w:val="24"/>
          <w:rtl/>
          <w:szCs w:val="24"/>
        </w:rPr>
        <w:t>, כאשר ההתייחסויות נעשות תוך ניצול יחסי מרות בעבודה, אין צורך שהמוטרד יראה שאינו מעוניין. ב</w:t>
      </w:r>
      <w:r>
        <w:rPr>
          <w:b/>
          <w:sz w:val="24"/>
          <w:rtl/>
          <w:szCs w:val="24"/>
          <w:bCs/>
        </w:rPr>
        <w:t>עש"ם 2203/05 מדר נ' נציבות שירות המדינה (21.7.2005)</w:t>
      </w:r>
      <w:r>
        <w:rPr>
          <w:sz w:val="24"/>
          <w:rtl/>
          <w:szCs w:val="24"/>
        </w:rPr>
        <w:t xml:space="preserve"> נקבע שיחסי מרות התקיימו אף שהמטריד לא היה הממונה הישיר של המוטרדת. נקבע גם שבקשה עמומה להפסיק, שנבעה מחשש לפגיעה בעבודה, אינה שוללת את ההטרדה. כלומר, המבחן מהותי ולא פורמלי. לדנה אין סמכות לקבל עובדים או לפטרם, אך היא ותיקה, משתתפת בהחלטות השיבוץ ולהמלצתה השפעה על קידום עובדים צעירים. אורי, בן 27, הוא עובד חדש. לפי הלכת מדר, ניתן לראות ביחסים אלה יחסי מרות, ולהסביר את השתתפותו של אורי בשיחות גם ברצון שלא להסתכסך עם מי שמשפיעה על עתידו.</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הישירה על נטייתו של אורי נשאלה פעם אחת. רוב השיחות עסקו בחייה של דנה, היו הדדיות ולא היה בהן רמז לקשר בין השיחות לבין מעמדו בעבודה. בעניין מדר, לעומת זאת, המטריד העיר שוב ושוב על מראה המוטרדת. לכן נראה לי שקשה לבסס כאן הטרדה מינית, אם כי הטענה אינה מופרכת: שיתוף מפורט ומתמשך בפרטים אינטימיים מצד עובדת ותיקה ובעלת השפעה, כלפי עובד חדש, אינו התנהגות ראויה במקום עבודה. אין זו גם </w:t>
      </w:r>
      <w:r>
        <w:rPr>
          <w:b/>
          <w:sz w:val="24"/>
          <w:rtl/>
          <w:szCs w:val="24"/>
          <w:bCs/>
        </w:rPr>
        <w:t>הטרדה סביבתית</w:t>
      </w:r>
      <w:r>
        <w:rPr>
          <w:sz w:val="24"/>
          <w:rtl/>
          <w:szCs w:val="24"/>
        </w:rPr>
        <w:t>, שכן ההתנהגות הופנתה לאורי בלבד.</w:t>
      </w:r>
    </w:p>
    <w:p>
      <w:pPr>
        <w:bidi/>
        <w:spacing w:before="120" w:after="0"/>
        <w:jc w:val="both"/>
      </w:pPr>
      <w:r>
        <w:rPr>
          <w:b/>
          <w:sz w:val="24"/>
          <w:rtl/>
          <w:szCs w:val="24"/>
          <w:bCs/>
        </w:rPr>
        <w:t>2. חובות המעסיק והתנכלות</w:t>
      </w:r>
    </w:p>
    <w:p>
      <w:pPr>
        <w:bidi/>
        <w:spacing w:before="0" w:after="0"/>
        <w:jc w:val="both"/>
      </w:pPr>
      <w:r>
        <w:rPr>
          <w:sz w:val="24"/>
          <w:rtl/>
          <w:szCs w:val="24"/>
        </w:rPr>
        <w:t xml:space="preserve">לפי </w:t>
      </w:r>
      <w:r>
        <w:rPr>
          <w:b/>
          <w:sz w:val="24"/>
          <w:rtl/>
          <w:szCs w:val="24"/>
          <w:bCs/>
        </w:rPr>
        <w:t>סעיף 7(א) לחוק</w:t>
      </w:r>
      <w:r>
        <w:rPr>
          <w:sz w:val="24"/>
          <w:rtl/>
          <w:szCs w:val="24"/>
        </w:rPr>
        <w:t xml:space="preserve">, מעסיק חייב לנקוט אמצעים סבירים כדי למנוע הטרדה מינית והתנכלות ולטפל בכל מקרה. Frame מעסיקה כ-70 עובדים, ולכן, לפי </w:t>
      </w:r>
      <w:r>
        <w:rPr>
          <w:b/>
          <w:sz w:val="24"/>
          <w:rtl/>
          <w:szCs w:val="24"/>
          <w:bCs/>
        </w:rPr>
        <w:t>סעיף 7(ב)</w:t>
      </w:r>
      <w:r>
        <w:rPr>
          <w:sz w:val="24"/>
          <w:rtl/>
          <w:szCs w:val="24"/>
        </w:rPr>
        <w:t xml:space="preserve"> ו</w:t>
      </w:r>
      <w:r>
        <w:rPr>
          <w:b/>
          <w:sz w:val="24"/>
          <w:rtl/>
          <w:szCs w:val="24"/>
          <w:bCs/>
        </w:rPr>
        <w:t>תקנות למניעת הטרדה מינית (חובות מעסיק), התשנ"ח-1998</w:t>
      </w:r>
      <w:r>
        <w:rPr>
          <w:sz w:val="24"/>
          <w:rtl/>
          <w:szCs w:val="24"/>
        </w:rPr>
        <w:t>, עליה גם לקבוע תקנון, לפרסמו ולמנות ממונה על מניעת הטרדה מינית.</w:t>
      </w:r>
    </w:p>
    <w:p>
      <w:pPr>
        <w:bidi/>
        <w:spacing w:before="0" w:after="0"/>
        <w:jc w:val="both"/>
      </w:pPr>
      <w:r>
        <w:rPr>
          <w:b/>
          <w:sz w:val="24"/>
          <w:rtl/>
          <w:szCs w:val="24"/>
          <w:bCs/>
        </w:rPr>
        <w:t>התנכלות</w:t>
      </w:r>
      <w:r>
        <w:rPr>
          <w:sz w:val="24"/>
          <w:rtl/>
          <w:szCs w:val="24"/>
        </w:rPr>
        <w:t xml:space="preserve"> מוגדרת בסעיף 3(ב) כפגיעה מכל סוג שמקורה בהטרדה מינית או בתלונה עליה. העברתו של אורי לצוות טכני, חודש אחרי שביקש לסיים את השיחות, בצירוף השפעתה של דנה על השיבוץ, מעוררת חשד לקשר כזה. אבל טענת ההתנכלות תלויה בכך שההתנהגות שקדמה לה הייתה הטרדה מינית, ובהוכחה שההעברה נבעה ממנה ולא מצורכי העבודה. העובדות אינן מראות שדנה הייתה מעורבת בהחלטה.</w:t>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למעסיק </w:t>
      </w:r>
      <w:r>
        <w:rPr>
          <w:b/>
          <w:sz w:val="24"/>
          <w:rtl/>
          <w:szCs w:val="24"/>
          <w:bCs/>
        </w:rPr>
        <w:t>פררוגטיבה ניהולית</w:t>
      </w:r>
      <w:r>
        <w:rPr>
          <w:sz w:val="24"/>
          <w:rtl/>
          <w:szCs w:val="24"/>
        </w:rPr>
        <w:t xml:space="preserve"> לשנות באופן חד-צדדי נהלי עבודה, ובכלל זה לקבוע מי משתתף בישיבות. שינוי שחורג ממנה ופוגע בהכנסת העובד או ב</w:t>
      </w:r>
      <w:r>
        <w:rPr>
          <w:b/>
          <w:sz w:val="24"/>
          <w:rtl/>
          <w:szCs w:val="24"/>
          <w:bCs/>
        </w:rPr>
        <w:t>מעמדו בארגון</w:t>
      </w:r>
      <w:r>
        <w:rPr>
          <w:sz w:val="24"/>
          <w:rtl/>
          <w:szCs w:val="24"/>
        </w:rPr>
        <w:t xml:space="preserve"> הוא </w:t>
      </w:r>
      <w:r>
        <w:rPr>
          <w:b/>
          <w:sz w:val="24"/>
          <w:rtl/>
          <w:szCs w:val="24"/>
          <w:bCs/>
        </w:rPr>
        <w:t>הרעת תנאים</w:t>
      </w:r>
      <w:r>
        <w:rPr>
          <w:sz w:val="24"/>
          <w:rtl/>
          <w:szCs w:val="24"/>
        </w:rPr>
        <w:t xml:space="preserve"> והפרה של חוזה העבודה (הילדסהימר, 2026א). העברתו של אורי מהפרויקטים המרכזיים לעריכה טכנית, בלי ישיבות קריאטיב ועם פחות אחריות, היא פגיעה במעמד, אף ששכרו לא השתנה.</w:t>
      </w:r>
    </w:p>
    <w:p>
      <w:pPr>
        <w:bidi/>
        <w:spacing w:before="0" w:after="0"/>
        <w:jc w:val="both"/>
      </w:pPr>
      <w:r>
        <w:rPr>
          <w:sz w:val="24"/>
          <w:rtl/>
          <w:szCs w:val="24"/>
        </w:rPr>
        <w:t xml:space="preserve">לפי </w:t>
      </w:r>
      <w:r>
        <w:rPr>
          <w:b/>
          <w:sz w:val="24"/>
          <w:rtl/>
          <w:szCs w:val="24"/>
          <w:bCs/>
        </w:rPr>
        <w:t>סעיף 11(א) לחוק פיצויי פיטורים, התשכ"ג-1963</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 כלומר לעניין הזכאות לפיצויי פיטורים בלבד. הזכאות עצמה מותנית בשנת עבודה אחת ברציפות אצל אותו מעסיק (סעיף 1(א) לחוק), ומאחר שאורי "התקבל" לחברה ותקופת העסקתו אינה ידועה, יש לבדוק תחילה שתנאי זה מתקיים. 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שכן שיהוי עלול להתפרש כהסכמה בהתנהגות להרעה. ב</w:t>
      </w:r>
      <w:r>
        <w:rPr>
          <w:b/>
          <w:sz w:val="24"/>
          <w:rtl/>
          <w:szCs w:val="24"/>
          <w:bCs/>
        </w:rPr>
        <w:t>תב"ע (ארצי) נד/3-86 גולן נ' אי.אל.די. בע"מ</w:t>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לא ביקש לחזור לתפקידו, לא התריע על כוונתו להתפטר ועבד ארבעה חודשים במתכונת החדשה. התקופה קצרה מזו שבעניין גולן, אך בצירוף השתיקה היא מלמדת על השלמה עם השינוי. גם החלופה של "נסיבות אחרות" אינה מסייעת לו: השיחות הסתיימו חודשים לפני ההתפטרות, ולא הוכח שהייתה הטרדה.</w:t>
      </w:r>
    </w:p>
    <w:p>
      <w:pPr>
        <w:bidi/>
        <w:spacing w:before="120" w:after="0"/>
        <w:jc w:val="both"/>
      </w:pPr>
      <w:r>
        <w:rPr>
          <w:b/>
          <w:sz w:val="24"/>
          <w:rtl/>
          <w:szCs w:val="24"/>
          <w:bCs/>
        </w:rPr>
        <w:t>4. סיכום</w:t>
      </w:r>
    </w:p>
    <w:p>
      <w:pPr>
        <w:bidi/>
        <w:spacing w:before="0" w:after="0"/>
        <w:jc w:val="both"/>
      </w:pPr>
      <w:r>
        <w:rPr>
          <w:sz w:val="24"/>
          <w:rtl/>
          <w:szCs w:val="24"/>
        </w:rPr>
        <w:t>לדעתי טענותיו של אורי אינן מבוססות. טענת ההטרדה המינית תלויה בהכרה ביחסי מרות לפי הלכת מדר, וגם אז קשה להראות התייחסויות חוזרות למיניותו או ניצול של יחסי המרות. טענת ההתנכלות תלויה בהוכחת ההטרדה ובקשר בינה לבין ההעברה. טענת ההתפטרות בדין מפוטר נכשלת בעיקר משום שלא ניתנה התראה ובשל השיהוי, לפי הלכת גולן. על Frame לוודא שיש לה תקנון וממונה כנדרש בסעיף 7(ב).</w:t>
      </w:r>
    </w:p>
    <w:p>
      <w:r>
        <w:br w:type="page"/>
      </w:r>
    </w:p>
    <w:p>
      <w:pPr>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7029/95 הסתדרות העובדים הכללית החדשה נ' בית הדין הארצי לעבודה ועמית, הסתדרות עובדים מכבי (1997).</w:t>
      </w:r>
    </w:p>
    <w:p>
      <w:pPr>
        <w:bidi/>
        <w:spacing w:before="0" w:after="0"/>
        <w:jc w:val="both"/>
      </w:pPr>
      <w:r>
        <w:rPr>
          <w:sz w:val="24"/>
          <w:rtl/>
          <w:szCs w:val="24"/>
        </w:rPr>
        <w:t>עס"ק (ארצי) 6298-03-25 הסתדרות העובדים הכללית החדשה נ' ארגון עובדי הפיתוח והשיווק בנוקיה (10.6.2025).</w:t>
      </w:r>
    </w:p>
    <w:p>
      <w:pPr>
        <w:bidi/>
        <w:spacing w:before="0" w:after="0"/>
        <w:jc w:val="both"/>
      </w:pPr>
      <w:r>
        <w:rPr>
          <w:sz w:val="24"/>
          <w:rtl/>
          <w:szCs w:val="24"/>
        </w:rPr>
        <w:t>עס"ק (ארצי) 25476-09-12 הסתדרות העובדים החדשה נ' פלאפון תקשורת בע"מ (2.1.2013).</w:t>
      </w:r>
    </w:p>
    <w:p>
      <w:pPr>
        <w:bidi/>
        <w:spacing w:before="0" w:after="0"/>
        <w:jc w:val="both"/>
      </w:pPr>
      <w:r>
        <w:rPr>
          <w:sz w:val="24"/>
          <w:rtl/>
          <w:szCs w:val="24"/>
        </w:rPr>
        <w:t>עש"ם 2203/05 מדר נ' נציבות שירות המדינה (21.7.2005).</w:t>
      </w:r>
    </w:p>
    <w:p>
      <w:pPr>
        <w:bidi/>
        <w:spacing w:before="0" w:after="0"/>
        <w:jc w:val="both"/>
      </w:pPr>
      <w:r>
        <w:rPr>
          <w:sz w:val="24"/>
          <w:rtl/>
          <w:szCs w:val="24"/>
        </w:rPr>
        <w:t>תב"ע (ארצי) נד/3-86 יוחנן גולן נ' אי.אל.די. בע"מ.</w:t>
      </w:r>
    </w:p>
    <w:p>
      <w:pPr>
        <w:bidi/>
        <w:spacing w:before="120" w:after="0"/>
        <w:jc w:val="both"/>
      </w:pPr>
      <w:r>
        <w:rPr>
          <w:b/>
          <w:sz w:val="24"/>
          <w:rtl/>
          <w:szCs w:val="24"/>
          <w:bCs/>
        </w:rPr>
        <w:t>ספרות וחומרי הקורס</w:t>
      </w:r>
    </w:p>
    <w:p>
      <w:pPr>
        <w:bidi/>
        <w:spacing w:before="0" w:after="0"/>
        <w:jc w:val="both"/>
      </w:pPr>
      <w:r>
        <w:rPr>
          <w:sz w:val="24"/>
          <w:rtl/>
          <w:szCs w:val="24"/>
        </w:rPr>
        <w:t>בן-ישראל, ר' (2002). דיני עבודה (כרך א', עמ' 32-48).</w:t>
      </w:r>
    </w:p>
    <w:p>
      <w:pPr>
        <w:bidi/>
        <w:spacing w:before="0" w:after="0"/>
        <w:jc w:val="both"/>
      </w:pPr>
      <w:r>
        <w:rPr>
          <w:sz w:val="24"/>
          <w:rtl/>
          <w:szCs w:val="24"/>
        </w:rPr>
        <w:t>הילדסהימר, ג' (2026א). חוזה עבודה אישי ומניעת הרעת תנאים, חלקים א'-ב' [מצגת הרצאה]. היבטים משפטיים ואתיים בייעוץ ופיתוח ארגוני, המרכז האקדמי פרס.</w:t>
      </w:r>
    </w:p>
    <w:p>
      <w:pPr>
        <w:bidi/>
        <w:spacing w:before="0" w:after="0"/>
        <w:jc w:val="both"/>
      </w:pPr>
      <w:r>
        <w:rPr>
          <w:sz w:val="24"/>
          <w:rtl/>
          <w:szCs w:val="24"/>
        </w:rPr>
        <w:t>הילדסהימר, ג' (2026ב). החוק למניעת הטרדה מינית, חלקים א'-ב' [מצגת הרצאה]. היבטים משפטיים ואתיים בייעוץ ופיתוח ארגוני, המרכז האקדמי פרס.</w:t>
      </w:r>
    </w:p>
    <w:p>
      <w:pPr>
        <w:bidi/>
        <w:spacing w:before="0" w:after="0"/>
        <w:jc w:val="both"/>
      </w:pPr>
      <w:r>
        <w:rPr>
          <w:sz w:val="24"/>
          <w:rtl/>
          <w:szCs w:val="24"/>
        </w:rPr>
        <w:t>הילדסהימר, ג' (2026ג). התארגנויות עובדים [מצגת הרצאה]. היבטים משפטיים ואתיים בייעוץ ופיתוח ארגוני, המרכז האקדמי פרס.</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