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40" w:before="0"/>
        <w:jc w:val="center"/>
      </w:pPr>
      <w:r>
        <w:rPr>
          <w:rFonts w:ascii="David" w:hAnsi="David" w:cs="David"/>
          <w:b/>
          <w:sz w:val="24"/>
          <w:szCs w:val="24"/>
          <w:rtl w:val="1"/>
          <w:bCs/>
        </w:rPr>
        <w:t>המסלול האקדמי, המכללה למנהל</w:t>
      </w:r>
    </w:p>
    <w:p>
      <w:pPr>
        <w:bidi/>
        <w:spacing w:line="360" w:lineRule="auto" w:after="40" w:before="0"/>
        <w:jc w:val="center"/>
      </w:pPr>
      <w:r>
        <w:rPr>
          <w:rFonts w:ascii="David" w:hAnsi="David" w:cs="David"/>
          <w:b w:val="0"/>
          <w:sz w:val="24"/>
          <w:szCs w:val="24"/>
          <w:rtl w:val="1"/>
        </w:rPr>
        <w:t>בית הספר לחינוך</w:t>
      </w:r>
    </w:p>
    <w:p>
      <w:pPr>
        <w:bidi/>
        <w:spacing w:line="360" w:lineRule="auto" w:after="40" w:before="0"/>
        <w:jc w:val="center"/>
      </w:pPr>
      <w:r>
        <w:rPr>
          <w:rFonts w:ascii="David" w:hAnsi="David" w:cs="David"/>
          <w:b w:val="0"/>
          <w:sz w:val="24"/>
          <w:szCs w:val="24"/>
          <w:rtl w:val="1"/>
        </w:rPr>
        <w:t>הקורס: כתיבה ואוריינות אקדמית ב'</w:t>
      </w:r>
    </w:p>
    <w:p>
      <w:pPr>
        <w:bidi/>
        <w:spacing w:line="360" w:lineRule="auto" w:after="40" w:before="0"/>
        <w:jc w:val="center"/>
      </w:pPr>
      <w:r>
        <w:rPr>
          <w:rFonts w:ascii="David" w:hAnsi="David" w:cs="David"/>
          <w:b w:val="0"/>
          <w:sz w:val="24"/>
          <w:szCs w:val="24"/>
          <w:rtl w:val="1"/>
        </w:rPr>
        <w:t>מנחה: ד"ר טל יעקבי</w:t>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120" w:before="0"/>
        <w:jc w:val="center"/>
      </w:pPr>
      <w:r>
        <w:rPr>
          <w:rFonts w:ascii="David" w:hAnsi="David" w:cs="David"/>
          <w:b/>
          <w:sz w:val="36"/>
          <w:szCs w:val="36"/>
          <w:rtl w:val="1"/>
          <w:bCs/>
        </w:rPr>
        <w:t>היפגעות מהטרדות ברשתות החברתיות בקרב מתבגרים</w:t>
      </w:r>
    </w:p>
    <w:p>
      <w:pPr>
        <w:bidi/>
        <w:spacing w:line="360" w:lineRule="auto" w:after="120" w:before="0"/>
        <w:jc w:val="center"/>
      </w:pPr>
      <w:r>
        <w:rPr>
          <w:rFonts w:ascii="David" w:hAnsi="David" w:cs="David"/>
          <w:b w:val="0"/>
          <w:sz w:val="26"/>
          <w:szCs w:val="26"/>
          <w:rtl w:val="1"/>
        </w:rPr>
        <w:t>מהו היקף ההיפגעות מהטרדות ברשתות החברתיות בקרב מתבגרים, וכיצד היא קשורה לבדידות, למסוגלות החברתית ולתמיכה החברתית?</w:t>
      </w:r>
    </w:p>
    <w:p>
      <w:pPr>
        <w:bidi/>
        <w:spacing w:line="360" w:lineRule="auto" w:after="120" w:before="0"/>
        <w:jc w:val="center"/>
      </w:pPr>
      <w:r>
        <w:rPr>
          <w:rFonts w:ascii="David" w:hAnsi="David" w:cs="David"/>
          <w:b w:val="0"/>
          <w:sz w:val="24"/>
          <w:szCs w:val="24"/>
          <w:rtl w:val="1"/>
        </w:rPr>
        <w:t>מאמר תיאורטי קצר</w:t>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0" w:before="0"/>
        <w:jc w:val="both"/>
      </w:pPr>
      <w:r>
        <w:rPr>
          <w:rFonts w:ascii="David" w:hAnsi="David" w:cs="David"/>
          <w:b w:val="0"/>
          <w:sz w:val="24"/>
          <w:szCs w:val="24"/>
          <w:rtl w:val="1"/>
        </w:rPr>
      </w:r>
    </w:p>
    <w:p>
      <w:pPr>
        <w:bidi/>
        <w:spacing w:line="360" w:lineRule="auto" w:after="80" w:before="0"/>
        <w:jc w:val="center"/>
      </w:pPr>
      <w:r>
        <w:rPr>
          <w:rFonts w:ascii="David" w:hAnsi="David" w:cs="David"/>
          <w:b w:val="0"/>
          <w:sz w:val="24"/>
          <w:szCs w:val="24"/>
          <w:rtl w:val="1"/>
        </w:rPr>
        <w:t>מגיש/ה: ______________________     ת"ז: ______________</w:t>
      </w:r>
    </w:p>
    <w:p>
      <w:pPr>
        <w:bidi/>
        <w:spacing w:line="360" w:lineRule="auto" w:after="80" w:before="0"/>
        <w:jc w:val="center"/>
      </w:pPr>
      <w:r>
        <w:rPr>
          <w:rFonts w:ascii="David" w:hAnsi="David" w:cs="David"/>
          <w:b w:val="0"/>
          <w:sz w:val="24"/>
          <w:szCs w:val="24"/>
          <w:rtl w:val="1"/>
        </w:rPr>
        <w:t>תאריך הגשה: 1 באוגוסט 2026</w:t>
      </w:r>
    </w:p>
    <w:p>
      <w:r>
        <w:br w:type="page"/>
      </w:r>
    </w:p>
    <w:p>
      <w:pPr>
        <w:bidi/>
        <w:spacing w:line="360" w:lineRule="auto" w:after="200" w:before="120"/>
        <w:jc w:val="right"/>
      </w:pPr>
      <w:r>
        <w:rPr>
          <w:rFonts w:ascii="David" w:hAnsi="David" w:cs="David"/>
          <w:b/>
          <w:sz w:val="28"/>
          <w:szCs w:val="28"/>
          <w:rtl w:val="1"/>
          <w:bCs/>
        </w:rPr>
        <w:t>תוכן עניינים</w:t>
      </w:r>
    </w:p>
    <w:p>
      <w:pPr>
        <w:tabs>
          <w:tab w:pos="8787" w:val="left" w:leader="dot"/>
        </w:tabs>
        <w:bidi/>
        <w:spacing w:line="360" w:lineRule="auto" w:after="120"/>
      </w:pPr>
      <w:r>
        <w:rPr>
          <w:rFonts w:ascii="David" w:hAnsi="David" w:cs="David"/>
          <w:b w:val="0"/>
          <w:sz w:val="24"/>
          <w:szCs w:val="24"/>
          <w:rtl w:val="1"/>
        </w:rPr>
        <w:t>מבוא</w:t>
        <w:tab/>
        <w:t>3</w:t>
      </w:r>
    </w:p>
    <w:p>
      <w:pPr>
        <w:tabs>
          <w:tab w:pos="8787" w:val="left" w:leader="dot"/>
        </w:tabs>
        <w:bidi/>
        <w:spacing w:line="360" w:lineRule="auto" w:after="120"/>
      </w:pPr>
      <w:r>
        <w:rPr>
          <w:rFonts w:ascii="David" w:hAnsi="David" w:cs="David"/>
          <w:b w:val="0"/>
          <w:sz w:val="24"/>
          <w:szCs w:val="24"/>
          <w:rtl w:val="1"/>
        </w:rPr>
        <w:t>סקירת ספרות</w:t>
        <w:tab/>
        <w:t>3</w:t>
      </w:r>
    </w:p>
    <w:p>
      <w:pPr>
        <w:tabs>
          <w:tab w:pos="8787" w:val="left" w:leader="dot"/>
        </w:tabs>
        <w:bidi/>
        <w:spacing w:line="360" w:lineRule="auto" w:after="120"/>
      </w:pPr>
      <w:r>
        <w:rPr>
          <w:rFonts w:ascii="David" w:hAnsi="David" w:cs="David"/>
          <w:b w:val="0"/>
          <w:sz w:val="24"/>
          <w:szCs w:val="24"/>
          <w:rtl w:val="1"/>
        </w:rPr>
        <w:t>דיון, סיכום ומסקנות</w:t>
        <w:tab/>
        <w:t>4</w:t>
      </w:r>
    </w:p>
    <w:p>
      <w:pPr>
        <w:tabs>
          <w:tab w:pos="8787" w:val="left" w:leader="dot"/>
        </w:tabs>
        <w:bidi/>
        <w:spacing w:line="360" w:lineRule="auto" w:after="120"/>
      </w:pPr>
      <w:r>
        <w:rPr>
          <w:rFonts w:ascii="David" w:hAnsi="David" w:cs="David"/>
          <w:b w:val="0"/>
          <w:sz w:val="24"/>
          <w:szCs w:val="24"/>
          <w:rtl w:val="1"/>
        </w:rPr>
        <w:t>רשימת מקורות</w:t>
        <w:tab/>
        <w:t>5</w:t>
      </w:r>
    </w:p>
    <w:p>
      <w:pPr>
        <w:tabs>
          <w:tab w:pos="8787" w:val="left" w:leader="dot"/>
        </w:tabs>
        <w:bidi/>
        <w:spacing w:line="360" w:lineRule="auto" w:after="120"/>
      </w:pPr>
      <w:r>
        <w:rPr>
          <w:rFonts w:ascii="David" w:hAnsi="David" w:cs="David"/>
          <w:b w:val="0"/>
          <w:sz w:val="24"/>
          <w:szCs w:val="24"/>
          <w:rtl w:val="1"/>
        </w:rPr>
        <w:t>נספח: סיכום מאמר</w:t>
        <w:tab/>
        <w:t>6</w:t>
      </w:r>
    </w:p>
    <w:p>
      <w:r>
        <w:br w:type="page"/>
      </w:r>
    </w:p>
    <w:p>
      <w:pPr>
        <w:bidi/>
        <w:spacing w:line="360" w:lineRule="auto" w:after="120" w:before="120"/>
        <w:jc w:val="right"/>
      </w:pPr>
      <w:r>
        <w:rPr>
          <w:rFonts w:ascii="David" w:hAnsi="David" w:cs="David"/>
          <w:b/>
          <w:sz w:val="26"/>
          <w:szCs w:val="26"/>
          <w:rtl w:val="1"/>
          <w:bCs/>
        </w:rPr>
        <w:t>מבוא</w:t>
      </w:r>
    </w:p>
    <w:p>
      <w:pPr>
        <w:bidi/>
        <w:spacing w:line="360" w:lineRule="auto" w:after="200" w:before="0"/>
        <w:jc w:val="both"/>
      </w:pPr>
      <w:r>
        <w:rPr>
          <w:rFonts w:ascii="David" w:hAnsi="David" w:cs="David"/>
          <w:b w:val="0"/>
          <w:sz w:val="24"/>
          <w:szCs w:val="24"/>
          <w:rtl w:val="1"/>
        </w:rPr>
        <w:t>הרשתות החברתיות הפכו לזירה מרכזית שבה מתבגרים מנהלים חלק ניכר מחייהם החברתיים. לצד ההזדמנויות שהן פותחות, הן חושפות את המשתמשים בהן לפגיעות ולהטרדות בהיקף שלא היה אפשרי בעבר. הטרדה ברשת אינה נעצרת בשערי בית הספר, היא מלווה את המתבגר גם הביתה ואל תוך חדרו. עבודה זו בוחנת את השאלה מהו היקף ההיפגעות מהטרדות ברשתות החברתיות בקרב מתבגרים, וכיצד היא קשורה לבדידות, למסוגלות החברתית ולתמיכה החברתית. הסקירה מתבססת על שלושה מחקרים אמפיריים, ונעה מן התופעה הכללית אל אוכלוסיות בסיכון ואל הגורמים החברתיים-רגשיים הקשורים בה.</w:t>
      </w:r>
    </w:p>
    <w:p>
      <w:pPr>
        <w:bidi/>
        <w:spacing w:line="360" w:lineRule="auto" w:after="120" w:before="120"/>
        <w:jc w:val="right"/>
      </w:pPr>
      <w:r>
        <w:rPr>
          <w:rFonts w:ascii="David" w:hAnsi="David" w:cs="David"/>
          <w:b/>
          <w:sz w:val="26"/>
          <w:szCs w:val="26"/>
          <w:rtl w:val="1"/>
          <w:bCs/>
        </w:rPr>
        <w:t>סקירת ספרות</w:t>
      </w:r>
    </w:p>
    <w:p>
      <w:pPr>
        <w:bidi/>
        <w:spacing w:line="360" w:lineRule="auto" w:after="200" w:before="0"/>
        <w:jc w:val="both"/>
      </w:pPr>
      <w:r>
        <w:rPr>
          <w:rFonts w:ascii="David" w:hAnsi="David" w:cs="David"/>
          <w:b w:val="0"/>
          <w:sz w:val="24"/>
          <w:szCs w:val="24"/>
          <w:rtl w:val="1"/>
        </w:rPr>
        <w:t>תחילה נגדיר את המושגים. רשתות חברתיות הן פלטפורמות מקוונות המאפשרות למשתמשים ליצור פרופיל, לשתף תכנים ולתקשר זה עם זה. הטרדה ברשת, המכונה גם בריונות מקוונת, היא פגיעה חוזרת ומכוונת באמצעים דיגיטליים. בניגוד לבריונות המסורתית, היא חוצה את גבולות הזמן והמקום, מגיעה לקהל רחב ולעיתים נעשית באנונימיות. תופעה זו שכיחה: מחקר ישראלי שבחן 181 מתבגרים בגילי 14 עד 16 מצא שבין 42 ל-44 אחוזים מהם חוו הצקות והטרדות ברשת (היימן ואולניק-שמש, 2015).</w:t>
      </w:r>
    </w:p>
    <w:p>
      <w:pPr>
        <w:bidi/>
        <w:spacing w:line="360" w:lineRule="auto" w:after="200" w:before="0"/>
        <w:jc w:val="both"/>
      </w:pPr>
      <w:r>
        <w:rPr>
          <w:rFonts w:ascii="David" w:hAnsi="David" w:cs="David"/>
          <w:b w:val="0"/>
          <w:sz w:val="24"/>
          <w:szCs w:val="24"/>
          <w:rtl w:val="1"/>
        </w:rPr>
        <w:t>מבחינה תיאורטית נהוג לבחון את התופעה מתוך גישה חברתית-אקולוגית, הרואה את התנהגות המתבגר כתוצר של יחסי הגומלין בינו לבין סביבותיו החברתיות. ברוח זו, מחקר שהשתתפו בו 140 מתבגרים עם הפרעת קשב ו-332 תלמידים ללא לקות מצא שתלמידים עם הפרעת קשב מעורבים יותר בבריונות ברשת, כקרבנות, כפוגעים וכעדים כאחד. יתרה מזאת, אלה מהם שנחשפו כעדים לבריונות דיווחו על בדידות חברתית ורגשית גבוהה יותר ועל מסוגלות עצמית חברתית נמוכה יותר מתלמידים ללא לקות. הפגיעה ברשת אינה עומדת בפני עצמה אלא שזורה במארג החברתי-רגשי של המתבגר (היימן, אולניק-שמש ועדן, 2014).</w:t>
      </w:r>
    </w:p>
    <w:p>
      <w:pPr>
        <w:bidi/>
        <w:spacing w:line="360" w:lineRule="auto" w:after="200" w:before="0"/>
        <w:jc w:val="both"/>
      </w:pPr>
      <w:r>
        <w:rPr>
          <w:rFonts w:ascii="David" w:hAnsi="David" w:cs="David"/>
          <w:b w:val="0"/>
          <w:sz w:val="24"/>
          <w:szCs w:val="24"/>
          <w:rtl w:val="1"/>
        </w:rPr>
        <w:t>התמונה מתרחבת כשמביאים בחשבון את עוצמת השימוש עצמו. מחקר שנערך בקרב סטודנטים מצא שהתמכרות לרשתות חברתיות קשורה בעלייה בבדידות ובדיכאון ובירידה במסוגלות הלימודית ובהישגים, בעוד כישורי פתרון בעיות ושביעות רצון מהחיים פועלים בכיוון המגן. הבדידות חוזרת אפוא כחוליה מרכזית, הן כמלווה של פגיעה ברשת והן כתוצאה של שימוש מופרז (Aslan &amp; Polat, 2024).</w:t>
      </w:r>
    </w:p>
    <w:p>
      <w:pPr>
        <w:bidi/>
        <w:spacing w:line="360" w:lineRule="auto" w:after="120" w:before="120"/>
        <w:jc w:val="right"/>
      </w:pPr>
      <w:r>
        <w:rPr>
          <w:rFonts w:ascii="David" w:hAnsi="David" w:cs="David"/>
          <w:b/>
          <w:sz w:val="26"/>
          <w:szCs w:val="26"/>
          <w:rtl w:val="1"/>
          <w:bCs/>
        </w:rPr>
        <w:t>דיון, סיכום ומסקנות</w:t>
      </w:r>
    </w:p>
    <w:p>
      <w:pPr>
        <w:bidi/>
        <w:spacing w:line="360" w:lineRule="auto" w:after="200" w:before="0"/>
        <w:jc w:val="both"/>
      </w:pPr>
      <w:r>
        <w:rPr>
          <w:rFonts w:ascii="David" w:hAnsi="David" w:cs="David"/>
          <w:b w:val="0"/>
          <w:sz w:val="24"/>
          <w:szCs w:val="24"/>
          <w:rtl w:val="1"/>
        </w:rPr>
        <w:t>שלושת המחקרים מציירים יחד תמונה שבה הרשתות החברתיות אינן גורם ניטרלי. הן זירה שבה מתבגרים נחשפים להטרדות בהיקף ניכר, ובמיוחד אוכלוסיות בסיכון כמו תלמידים עם לקויות. ההיפגעות אינה מסתכמת ברגע הפגיעה, אלא קשורה בבדידות, במסוגלות חברתית נמוכה ובתמיכה מועטה, ואלה בתורם נקשרים גם לתפקוד הלימודי ולרווחה הנפשית (היימן, אולניק-שמש ועדן, 2014; Aslan &amp; Polat, 2024). מכאן שהמענה החינוכי אינו יכול להסתפק בחסימה טכנית או באיסור. עליו לחזק את המשאבים החברתיים-רגשיים של המתבגר, לזהות מוקדם אוכלוסיות פגיעות, ולפתח מיומנויות התמודדות עם פגיעה ברשת. מחקרים עתידיים ראוי שיבחנו את הקשרים האלה גם בקרב כלל המתבגרים ולאורך זמן, כדי לבסס המלצות מעשיות למורים ולהורים (היימן ואולניק-שמש, 2015).</w:t>
      </w:r>
    </w:p>
    <w:p>
      <w:r>
        <w:br w:type="page"/>
      </w:r>
    </w:p>
    <w:p>
      <w:pPr>
        <w:bidi/>
        <w:spacing w:line="360" w:lineRule="auto" w:after="200" w:before="120"/>
        <w:jc w:val="right"/>
      </w:pPr>
      <w:r>
        <w:rPr>
          <w:rFonts w:ascii="David" w:hAnsi="David" w:cs="David"/>
          <w:b/>
          <w:sz w:val="26"/>
          <w:szCs w:val="26"/>
          <w:rtl w:val="1"/>
          <w:bCs/>
        </w:rPr>
        <w:t>רשימת מקורות</w:t>
      </w:r>
    </w:p>
    <w:p>
      <w:pPr>
        <w:bidi/>
        <w:spacing w:line="360" w:lineRule="auto" w:after="160"/>
        <w:ind w:right="560" w:hanging="560"/>
        <w:jc w:val="both"/>
      </w:pPr>
      <w:r>
        <w:rPr>
          <w:rFonts w:ascii="David" w:hAnsi="David" w:cs="David"/>
          <w:b w:val="0"/>
          <w:sz w:val="24"/>
          <w:szCs w:val="24"/>
          <w:rtl w:val="1"/>
        </w:rPr>
        <w:t>היימן, ט', אולניק-שמש, ד', ועדן, ס' (2014). מעורבות וקרבנוּת ברשת בקרב תלמידים עם הפרעת קשב והיפראקטיביות וללא הפרעה זו והקשר למסוגלות עצמית חברתית, בדידות ותמיכה חברתית. מפגש לעבודה חינוכית-סוציאלית, 39, 93–112.</w:t>
      </w:r>
    </w:p>
    <w:p>
      <w:pPr>
        <w:bidi/>
        <w:spacing w:line="360" w:lineRule="auto" w:after="160"/>
        <w:ind w:right="560" w:hanging="560"/>
        <w:jc w:val="both"/>
      </w:pPr>
      <w:r>
        <w:rPr>
          <w:rFonts w:ascii="David" w:hAnsi="David" w:cs="David"/>
          <w:b w:val="0"/>
          <w:sz w:val="24"/>
          <w:szCs w:val="24"/>
          <w:rtl w:val="1"/>
        </w:rPr>
        <w:t>היימן, ט', ואולניק-שמש, ד' (2015). הקול ברשת או הכול ברשת? פגיעות ועדות להטרדות ברשת של תלמידים עם לקות למידה, הפרעת קשב ולקויות חושיות. עיונים בשפה וחברה, 7(1–2), 88–104.</w:t>
      </w:r>
    </w:p>
    <w:p>
      <w:pPr>
        <w:bidi/>
        <w:spacing w:line="360" w:lineRule="auto" w:after="160"/>
        <w:ind w:left="560" w:hanging="560"/>
        <w:jc w:val="both"/>
      </w:pPr>
      <w:r>
        <w:rPr>
          <w:rFonts w:ascii="David" w:hAnsi="David" w:cs="David"/>
          <w:b w:val="0"/>
          <w:sz w:val="24"/>
          <w:szCs w:val="24"/>
        </w:rPr>
        <w:t>Aslan, I., &amp; Polat, H. (2024). Investigating social media addiction and impact of social media addiction, loneliness, depression, life satisfaction and problem-solving skills on academic self-efficacy and academic success among university students. Frontiers in Public Health, 12, 1359691. https://doi.org/10.3389/fpubh.2024.1359691</w:t>
      </w:r>
    </w:p>
    <w:p>
      <w:r>
        <w:br w:type="page"/>
      </w:r>
    </w:p>
    <w:p>
      <w:pPr>
        <w:bidi/>
        <w:spacing w:line="360" w:lineRule="auto" w:after="160" w:before="120"/>
        <w:jc w:val="right"/>
      </w:pPr>
      <w:r>
        <w:rPr>
          <w:rFonts w:ascii="David" w:hAnsi="David" w:cs="David"/>
          <w:b/>
          <w:sz w:val="26"/>
          <w:szCs w:val="26"/>
          <w:rtl w:val="1"/>
          <w:bCs/>
        </w:rPr>
        <w:t>נספח: סיכום מאמר</w:t>
      </w:r>
    </w:p>
    <w:p>
      <w:pPr>
        <w:bidi/>
        <w:spacing w:line="360" w:lineRule="auto" w:after="200" w:before="0"/>
        <w:jc w:val="right"/>
      </w:pPr>
      <w:r>
        <w:rPr>
          <w:rFonts w:ascii="David" w:hAnsi="David" w:cs="David"/>
          <w:b w:val="0"/>
          <w:sz w:val="22"/>
          <w:szCs w:val="22"/>
          <w:rtl w:val="1"/>
        </w:rPr>
        <w:t>(סיכום המאמר של היימן, אולניק-שמש ועדן, 2014, על פי מודל סיכום המאמר שנלמד בקורס)</w:t>
      </w:r>
    </w:p>
    <w:p>
      <w:pPr>
        <w:bidi/>
        <w:spacing w:line="360" w:lineRule="auto" w:after="160"/>
        <w:jc w:val="both"/>
      </w:pPr>
      <w:r>
        <w:rPr>
          <w:rFonts w:ascii="David" w:hAnsi="David" w:cs="David"/>
          <w:b/>
          <w:sz w:val="24"/>
          <w:szCs w:val="24"/>
          <w:rtl w:val="1"/>
          <w:bCs/>
        </w:rPr>
        <w:t xml:space="preserve">פרטי המאמר: </w:t>
      </w:r>
      <w:r>
        <w:rPr>
          <w:rFonts w:ascii="David" w:hAnsi="David" w:cs="David"/>
          <w:b w:val="0"/>
          <w:sz w:val="24"/>
          <w:szCs w:val="24"/>
          <w:rtl w:val="1"/>
        </w:rPr>
        <w:t>היימן, ט', אולניק-שמש, ד', ועדן, ס' (2014). מעורבות וקרבנוּת ברשת בקרב תלמידים עם הפרעת קשב והיפראקטיביות וללא הפרעה זו והקשר למסוגלות עצמית חברתית, בדידות ותמיכה חברתית. מפגש לעבודה חינוכית-סוציאלית, 39, 93–112.</w:t>
      </w:r>
    </w:p>
    <w:p>
      <w:pPr>
        <w:bidi/>
        <w:spacing w:line="360" w:lineRule="auto" w:after="160"/>
        <w:jc w:val="both"/>
      </w:pPr>
      <w:r>
        <w:rPr>
          <w:rFonts w:ascii="David" w:hAnsi="David" w:cs="David"/>
          <w:b/>
          <w:sz w:val="24"/>
          <w:szCs w:val="24"/>
          <w:rtl w:val="1"/>
          <w:bCs/>
        </w:rPr>
        <w:t xml:space="preserve">נושא ומטרת המחקר: </w:t>
      </w:r>
      <w:r>
        <w:rPr>
          <w:rFonts w:ascii="David" w:hAnsi="David" w:cs="David"/>
          <w:b w:val="0"/>
          <w:sz w:val="24"/>
          <w:szCs w:val="24"/>
          <w:rtl w:val="1"/>
        </w:rPr>
        <w:t>המחקר בוחן את שכיחות המעורבות בבריונות ברשת בקרב מתבגרים עם הפרעת קשב והיפראקטיביות, ואת הקשר בין מעורבות זו לבין מסוגלות עצמית חברתית, תחושת בדידות ותמיכה חברתית.</w:t>
      </w:r>
    </w:p>
    <w:p>
      <w:pPr>
        <w:bidi/>
        <w:spacing w:line="360" w:lineRule="auto" w:after="160"/>
        <w:jc w:val="both"/>
      </w:pPr>
      <w:r>
        <w:rPr>
          <w:rFonts w:ascii="David" w:hAnsi="David" w:cs="David"/>
          <w:b/>
          <w:sz w:val="24"/>
          <w:szCs w:val="24"/>
          <w:rtl w:val="1"/>
          <w:bCs/>
        </w:rPr>
        <w:t xml:space="preserve">שאלת המחקר: </w:t>
      </w:r>
      <w:r>
        <w:rPr>
          <w:rFonts w:ascii="David" w:hAnsi="David" w:cs="David"/>
          <w:b w:val="0"/>
          <w:sz w:val="24"/>
          <w:szCs w:val="24"/>
          <w:rtl w:val="1"/>
        </w:rPr>
        <w:t>האם תלמידים עם הפרעת קשב מעורבים בבריונות ברשת יותר מתלמידים ללא לקות, וכיצד מעורבות זו קשורה לתחושת הבדידות ולמסוגלות העצמית החברתית שלהם?</w:t>
      </w:r>
    </w:p>
    <w:p>
      <w:pPr>
        <w:bidi/>
        <w:spacing w:line="360" w:lineRule="auto" w:after="160"/>
        <w:jc w:val="both"/>
      </w:pPr>
      <w:r>
        <w:rPr>
          <w:rFonts w:ascii="David" w:hAnsi="David" w:cs="David"/>
          <w:b/>
          <w:sz w:val="24"/>
          <w:szCs w:val="24"/>
          <w:rtl w:val="1"/>
          <w:bCs/>
        </w:rPr>
        <w:t xml:space="preserve">שיטת המחקר: </w:t>
      </w:r>
      <w:r>
        <w:rPr>
          <w:rFonts w:ascii="David" w:hAnsi="David" w:cs="David"/>
          <w:b w:val="0"/>
          <w:sz w:val="24"/>
          <w:szCs w:val="24"/>
          <w:rtl w:val="1"/>
        </w:rPr>
        <w:t>מחקר כמותי. השתתפו בו 140 מתבגרים עם הפרעת קשב והיפראקטיביות ו-332 תלמידים ללא לקות, הלומדים בכיתות משולבות. כל משתתף מילא ארבעה שאלונים במהלך שיעור בכיתה: מעורבות בבריונות ברשת, מסוגלות עצמית חברתית, בדידות ותמיכה חברתית.</w:t>
      </w:r>
    </w:p>
    <w:p>
      <w:pPr>
        <w:bidi/>
        <w:spacing w:line="360" w:lineRule="auto" w:after="160"/>
        <w:jc w:val="both"/>
      </w:pPr>
      <w:r>
        <w:rPr>
          <w:rFonts w:ascii="David" w:hAnsi="David" w:cs="David"/>
          <w:b/>
          <w:sz w:val="24"/>
          <w:szCs w:val="24"/>
          <w:rtl w:val="1"/>
          <w:bCs/>
        </w:rPr>
        <w:t xml:space="preserve">ממצאים עיקריים: </w:t>
      </w:r>
      <w:r>
        <w:rPr>
          <w:rFonts w:ascii="David" w:hAnsi="David" w:cs="David"/>
          <w:b w:val="0"/>
          <w:sz w:val="24"/>
          <w:szCs w:val="24"/>
          <w:rtl w:val="1"/>
        </w:rPr>
        <w:t>תלמידים עם הפרעת קשב דיווחו על מעורבות גבוהה יותר בבריונות ברשת, הן כקרבנות, הן כפוגעים והן כעדים. מבין תלמידים אלה, מי שהיו עדים לבריונות ברשת דיווחו על תחושות בדידות חברתית ורגשית גבוהות יותר ועל מסוגלות עצמית חברתית נמוכה יותר בהשוואה לתלמידים ללא לקות.</w:t>
      </w:r>
    </w:p>
    <w:p>
      <w:pPr>
        <w:bidi/>
        <w:spacing w:line="360" w:lineRule="auto" w:after="160"/>
        <w:jc w:val="both"/>
      </w:pPr>
      <w:r>
        <w:rPr>
          <w:rFonts w:ascii="David" w:hAnsi="David" w:cs="David"/>
          <w:b/>
          <w:sz w:val="24"/>
          <w:szCs w:val="24"/>
          <w:rtl w:val="1"/>
          <w:bCs/>
        </w:rPr>
        <w:t xml:space="preserve">מסקנות: </w:t>
      </w:r>
      <w:r>
        <w:rPr>
          <w:rFonts w:ascii="David" w:hAnsi="David" w:cs="David"/>
          <w:b w:val="0"/>
          <w:sz w:val="24"/>
          <w:szCs w:val="24"/>
          <w:rtl w:val="1"/>
        </w:rPr>
        <w:t>מתבגרים עם הפרעת קשב נמצאים בסיכון מוגבר למעורבות בבריונות ברשת ולהשלכותיה החברתיות-רגשיות. יש צורך במחקר נוסף על תרומתם של מאפיינים אישיים וסביבתיים להתמודדות יעילה עם התופעה.</w:t>
      </w:r>
    </w:p>
    <w:p>
      <w:pPr>
        <w:bidi/>
        <w:spacing w:line="360" w:lineRule="auto" w:after="160"/>
        <w:jc w:val="both"/>
      </w:pPr>
      <w:r>
        <w:rPr>
          <w:rFonts w:ascii="David" w:hAnsi="David" w:cs="David"/>
          <w:b/>
          <w:sz w:val="24"/>
          <w:szCs w:val="24"/>
          <w:rtl w:val="1"/>
          <w:bCs/>
        </w:rPr>
        <w:t xml:space="preserve">תרומה ומגבלות: </w:t>
      </w:r>
      <w:r>
        <w:rPr>
          <w:rFonts w:ascii="David" w:hAnsi="David" w:cs="David"/>
          <w:b w:val="0"/>
          <w:sz w:val="24"/>
          <w:szCs w:val="24"/>
          <w:rtl w:val="1"/>
        </w:rPr>
        <w:t>המחקר מאיר אוכלוסייה ייחודית ובסיכון ומדגיש את הצורך במענה חינוכי מותאם. עם זאת, הסתמכותו על שאלוני דיווח עצמי מגבילה את מהימנות המדידה ואת יכולת ההכללה.</w:t>
      </w:r>
    </w:p>
    <w:sectPr w:rsidR="00FC693F" w:rsidRPr="0006063C" w:rsidSect="00034616">
      <w:footerReference w:type="default" r:id="rId9"/>
      <w:pgSz w:w="12240" w:h="15840"/>
      <w:pgMar w:top="1440" w:right="1440" w:bottom="1440" w:left="144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David" w:hAnsi="David"/>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