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rPr>
          <w:noProof/>
        </w:rP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noProof/>
          <w:color w:val="000000"/>
          <w:sz w:val="26"/>
          <w:szCs w:val="26"/>
          <w:rtl w:val="1"/>
        </w:rPr>
        <w:t>החוג לחינוך לגיל הרך</w:t>
      </w:r>
    </w:p>
    <w:p>
      <w:pPr>
        <w:bidi w:val="1"/>
        <w:spacing w:line="360" w:lineRule="auto" w:before="0" w:after="600"/>
        <w:jc w:val="center"/>
      </w:pPr>
      <w:r>
        <w:rPr>
          <w:rFonts w:ascii="David" w:hAnsi="David" w:cs="David"/>
          <w:b/>
          <w:noProof/>
          <w:color w:val="000000"/>
          <w:sz w:val="36"/>
          <w:szCs w:val="36"/>
          <w:rtl w:val="1"/>
        </w:rPr>
        <w:t>עבודת סמינריון</w:t>
      </w:r>
    </w:p>
    <w:p>
      <w:pPr>
        <w:bidi w:val="1"/>
        <w:spacing w:line="360" w:lineRule="auto" w:before="0" w:after="280"/>
        <w:jc w:val="center"/>
      </w:pPr>
      <w:r>
        <w:rPr>
          <w:rFonts w:ascii="David" w:hAnsi="David" w:cs="David"/>
          <w:b/>
          <w:noProof/>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noProof/>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noProof/>
          <w:color w:val="000000"/>
          <w:sz w:val="24"/>
          <w:szCs w:val="24"/>
          <w:rtl w:val="1"/>
        </w:rPr>
        <w:t>מגישה: מיטל נאורי</w:t>
      </w:r>
    </w:p>
    <w:p>
      <w:pPr>
        <w:bidi w:val="1"/>
        <w:spacing w:line="360" w:lineRule="auto" w:before="0" w:after="120"/>
        <w:jc w:val="center"/>
      </w:pPr>
      <w:r>
        <w:rPr>
          <w:rFonts w:ascii="David" w:hAnsi="David" w:cs="David"/>
          <w:b w:val="0"/>
          <w:noProof/>
          <w:color w:val="000000"/>
          <w:sz w:val="24"/>
          <w:szCs w:val="24"/>
          <w:rtl w:val="1"/>
        </w:rPr>
        <w:t>ת"ז: 206661779</w:t>
      </w:r>
    </w:p>
    <w:p>
      <w:pPr>
        <w:bidi w:val="1"/>
        <w:spacing w:line="360" w:lineRule="auto" w:after="120"/>
        <w:jc w:val="center"/>
      </w:pPr>
      <w:r>
        <w:rPr>
          <w:rFonts w:ascii="David" w:hAnsi="David" w:cs="David"/>
          <w:noProof/>
          <w:color w:val="000000"/>
          <w:sz w:val="24"/>
          <w:szCs w:val="24"/>
          <w:rtl w:val="1"/>
        </w:rPr>
        <w:t>הקורס: סמינריון צדק בכיתה</w:t>
      </w:r>
    </w:p>
    <w:p>
      <w:pPr>
        <w:bidi w:val="1"/>
        <w:spacing w:line="360" w:lineRule="auto" w:before="0" w:after="120"/>
        <w:jc w:val="center"/>
      </w:pPr>
      <w:r>
        <w:rPr>
          <w:rFonts w:ascii="David" w:hAnsi="David" w:cs="David"/>
          <w:b w:val="0"/>
          <w:noProof/>
          <w:color w:val="000000"/>
          <w:sz w:val="24"/>
          <w:szCs w:val="24"/>
          <w:rtl w:val="1"/>
        </w:rPr>
        <w:t>בהנחיית: ד"ר ליאת ביברמן-שלו</w:t>
      </w:r>
    </w:p>
    <w:p>
      <w:pPr>
        <w:bidi w:val="1"/>
        <w:spacing w:line="360" w:lineRule="auto" w:before="0" w:after="120"/>
        <w:jc w:val="center"/>
      </w:pPr>
      <w:r>
        <w:rPr>
          <w:rFonts w:ascii="David" w:hAnsi="David" w:cs="David"/>
          <w:noProof/>
          <w:color w:val="000000"/>
          <w:sz w:val="24"/>
          <w:szCs w:val="24"/>
          <w:rtl w:val="1"/>
        </w:rPr>
        <w:t>תאריך הגשה: אב תשפ"ו, אוגוסט 2026</w:t>
      </w:r>
    </w:p>
    <w:p>
      <w:pPr>
        <w:jc w:val="both"/>
      </w:pPr>
      <w:r>
        <w:rPr>
          <w:noProof/>
          <w:color w:val="000000"/>
        </w:rPr>
        <w:br w:type="page"/>
      </w:r>
    </w:p>
    <w:p>
      <w:pPr>
        <w:bidi w:val="1"/>
        <w:spacing w:line="360" w:lineRule="auto" w:before="0" w:after="240"/>
        <w:jc w:val="center"/>
      </w:pPr>
      <w:r>
        <w:rPr>
          <w:rFonts w:ascii="David" w:hAnsi="David" w:cs="David"/>
          <w:b/>
          <w:noProof/>
          <w:color w:val="000000"/>
          <w:sz w:val="30"/>
          <w:szCs w:val="30"/>
          <w:rtl w:val="1"/>
        </w:rPr>
        <w:t>תוכן העניינים</w:t>
      </w:r>
    </w:p>
    <w:p>
      <w:pPr>
        <w:bidi w:val="1"/>
        <w:spacing w:line="360" w:lineRule="auto"/>
        <w:jc w:val="both"/>
      </w:pPr>
      <w:r>
        <w:rPr>
          <w:noProof/>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1. מבוא</w:t>
      </w:r>
    </w:p>
    <w:p>
      <w:pPr>
        <w:bidi w:val="1"/>
        <w:spacing w:line="360" w:lineRule="auto"/>
        <w:ind/>
        <w:jc w:val="both"/>
      </w:pPr>
      <w:r>
        <w:rPr>
          <w:rFonts w:ascii="David" w:hAnsi="David" w:cs="David"/>
          <w:b w:val="0"/>
          <w:noProof/>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noProof/>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noProof/>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noProof/>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noProof/>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noProof/>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noProof/>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noProof/>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noProof/>
          <w:color w:val="000000"/>
          <w:sz w:val="26"/>
          <w:szCs w:val="26"/>
          <w:rtl w:val="1"/>
          <w:rtl w:val="1"/>
        </w:rPr>
        <w:t>2.1 צדק וצדק חברתי בחינוך</w:t>
      </w:r>
    </w:p>
    <w:p>
      <w:pPr>
        <w:bidi w:val="1"/>
        <w:spacing w:line="360" w:lineRule="auto" w:before="0" w:after="120"/>
        <w:ind/>
        <w:jc w:val="both"/>
      </w:pPr>
      <w:r>
        <w:rPr>
          <w:rFonts w:ascii="David" w:hAnsi="David" w:cs="David"/>
          <w:b w:val="0"/>
          <w:noProof/>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noProof/>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noProof/>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noProof/>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noProof/>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noProof/>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noProof/>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noProof/>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noProof/>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noProof/>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noProof/>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noProof/>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noProof/>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noProof/>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noProof/>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noProof/>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noProof/>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noProof/>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noProof/>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noProof/>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noProof/>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noProof/>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noProof/>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noProof/>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noProof/>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noProof/>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noProof/>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noProof/>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noProof/>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noProof/>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noProof/>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noProof/>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noProof/>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noProof/>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noProof/>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noProof/>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noProof/>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noProof/>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noProof/>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noProof/>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noProof/>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noProof/>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noProof/>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noProof/>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noProof/>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noProof/>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noProof/>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3. שאלת המחקר</w:t>
      </w:r>
    </w:p>
    <w:p>
      <w:pPr>
        <w:bidi w:val="1"/>
        <w:spacing w:line="360" w:lineRule="auto" w:before="0" w:after="120"/>
        <w:jc w:val="both"/>
      </w:pPr>
      <w:r>
        <w:rPr>
          <w:rFonts w:ascii="David" w:hAnsi="David" w:cs="David"/>
          <w:b/>
          <w:noProof/>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noProof/>
          <w:color w:val="000000"/>
          <w:sz w:val="24"/>
          <w:szCs w:val="24"/>
          <w:rtl w:val="1"/>
        </w:rPr>
        <w:t>שאלות משנה:</w:t>
      </w:r>
    </w:p>
    <w:p>
      <w:pPr>
        <w:bidi w:val="1"/>
        <w:spacing w:line="360" w:lineRule="auto" w:before="0" w:after="120"/>
        <w:jc w:val="both"/>
      </w:pPr>
      <w:r>
        <w:rPr>
          <w:rFonts w:ascii="David" w:hAnsi="David" w:cs="David"/>
          <w:b w:val="0"/>
          <w:noProof/>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noProof/>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noProof/>
          <w:color w:val="000000"/>
          <w:sz w:val="24"/>
          <w:szCs w:val="24"/>
          <w:rtl w:val="1"/>
        </w:rPr>
        <w:t>• כיצד תופסות גננות את תפקידן כסוכנות של צדק, שוויון וצמצום פערים חברתיים-כלכליים בגן?</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noProof/>
          <w:color w:val="000000"/>
          <w:sz w:val="26"/>
          <w:szCs w:val="26"/>
          <w:rtl w:val="1"/>
          <w:rtl w:val="1"/>
        </w:rPr>
        <w:t>4.1 שיטת המחקר</w:t>
      </w:r>
    </w:p>
    <w:p>
      <w:pPr>
        <w:bidi w:val="1"/>
        <w:spacing w:line="360" w:lineRule="auto" w:before="0" w:after="120"/>
        <w:ind/>
        <w:jc w:val="both"/>
      </w:pPr>
      <w:r>
        <w:rPr>
          <w:rFonts w:ascii="David" w:hAnsi="David" w:cs="David"/>
          <w:b w:val="0"/>
          <w:noProof/>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noProof/>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noProof/>
          <w:color w:val="000000"/>
          <w:sz w:val="26"/>
          <w:szCs w:val="26"/>
          <w:rtl w:val="1"/>
          <w:rtl w:val="1"/>
        </w:rPr>
        <w:t>4.2 שדה המחקר</w:t>
      </w:r>
    </w:p>
    <w:p>
      <w:pPr>
        <w:bidi w:val="1"/>
        <w:spacing w:line="360" w:lineRule="auto" w:before="0" w:after="120"/>
        <w:ind/>
        <w:jc w:val="both"/>
      </w:pPr>
      <w:r>
        <w:rPr>
          <w:rFonts w:ascii="David" w:hAnsi="David" w:cs="David"/>
          <w:b w:val="0"/>
          <w:noProof/>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noProof/>
          <w:color w:val="000000"/>
          <w:sz w:val="26"/>
          <w:szCs w:val="26"/>
          <w:rtl w:val="1"/>
          <w:rtl w:val="1"/>
        </w:rPr>
        <w:t>4.3 אוכלוסיית המחקר</w:t>
      </w:r>
    </w:p>
    <w:p>
      <w:pPr>
        <w:bidi w:val="1"/>
        <w:spacing w:line="360" w:lineRule="auto" w:before="0" w:after="120"/>
        <w:ind/>
        <w:jc w:val="both"/>
      </w:pPr>
      <w:r>
        <w:rPr>
          <w:rFonts w:ascii="David" w:hAnsi="David" w:cs="David"/>
          <w:b w:val="0"/>
          <w:noProof/>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noProof/>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סוג הגן / 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מגזר</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תפקידים נוספים</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ותק</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גיל</w:t>
            </w:r>
          </w:p>
        </w:tc>
        <w:tc>
          <w:tcPr>
            <w:tcW w:type="dxa" w:w="1560"/>
          </w:tcPr>
          <w:p>
            <w:pPr>
              <w:bidi w:val="1"/>
              <w:jc w:val="center"/>
            </w:pPr>
            <w:r>
              <w:rPr>
                <w:rFonts w:ascii="David" w:hAnsi="David" w:cs="David"/>
                <w:noProof/>
                <w:color w:val="000000"/>
                <w:szCs w:val="24"/>
                <w:rtl w:val="1"/>
              </w:rPr>
            </w:r>
            <w:r>
              <w:rPr>
                <w:rFonts w:ascii="David" w:hAnsi="David" w:cs="David"/>
                <w:b/>
                <w:noProof/>
                <w:color w:val="000000"/>
                <w:sz w:val="24"/>
                <w:szCs w:val="24"/>
                <w:rtl w:val="1"/>
              </w:rPr>
              <w:t>שם בדוי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רכזת הכלה בגן</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16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43</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שירה כהן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שכונה ותיקה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חונכת גננות מתחילות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28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58</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רבקה לוי</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טרום-חובה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(גננת צעירה)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 שנים</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יעל אברהם</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יישוב מעורב</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מדריכה במתי"א</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22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49</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תמר פרידמן</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עירוני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חילוני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מנחה בתכנית רגשית-חברתית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14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41</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נעמה בן-דוד</w:t>
            </w:r>
          </w:p>
        </w:tc>
      </w:tr>
      <w:tr>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גן חובה בשכונה מוחלשת</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מסורתי</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אין (בחירה להישאר בשטח)</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24 שנה</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52</w:t>
            </w:r>
          </w:p>
        </w:tc>
        <w:tc>
          <w:tcPr>
            <w:tcW w:type="dxa" w:w="1560"/>
          </w:tcPr>
          <w:p>
            <w:pPr>
              <w:bidi w:val="1"/>
              <w:spacing w:line="360" w:lineRule="auto"/>
              <w:jc w:val="right"/>
            </w:pPr>
            <w:r>
              <w:rPr>
                <w:rFonts w:ascii="David" w:hAnsi="David" w:cs="David"/>
                <w:noProof/>
                <w:color w:val="000000"/>
                <w:szCs w:val="24"/>
                <w:rtl w:val="1"/>
              </w:rPr>
            </w:r>
            <w:r>
              <w:rPr>
                <w:rFonts w:ascii="David" w:hAnsi="David" w:cs="David"/>
                <w:noProof/>
                <w:color w:val="000000"/>
                <w:sz w:val="24"/>
                <w:szCs w:val="24"/>
                <w:rtl w:val="1"/>
              </w:rPr>
              <w:t>אסתר מזרחי</w:t>
            </w:r>
          </w:p>
        </w:tc>
      </w:tr>
    </w:tbl>
    <w:p>
      <w:pPr>
        <w:bidi w:val="1"/>
        <w:pStyle w:val="Heading2"/>
        <w:bidi w:val="1"/>
        <w:spacing w:line="360" w:lineRule="auto" w:before="280" w:after="160"/>
        <w:jc w:val="both"/>
      </w:pPr>
      <w:r>
        <w:rPr>
          <w:rFonts w:ascii="David" w:hAnsi="David" w:cs="David"/>
          <w:b/>
          <w:noProof/>
          <w:color w:val="000000"/>
          <w:sz w:val="26"/>
          <w:szCs w:val="26"/>
          <w:rtl w:val="1"/>
          <w:rtl w:val="1"/>
        </w:rPr>
        <w:t>4.4 המדגם</w:t>
      </w:r>
    </w:p>
    <w:p>
      <w:pPr>
        <w:bidi w:val="1"/>
        <w:spacing w:line="360" w:lineRule="auto" w:before="0" w:after="120"/>
        <w:ind/>
        <w:jc w:val="both"/>
      </w:pPr>
      <w:r>
        <w:rPr>
          <w:rFonts w:ascii="David" w:hAnsi="David" w:cs="David"/>
          <w:b w:val="0"/>
          <w:noProof/>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noProof/>
          <w:color w:val="000000"/>
          <w:sz w:val="26"/>
          <w:szCs w:val="26"/>
          <w:rtl w:val="1"/>
          <w:rtl w:val="1"/>
        </w:rPr>
        <w:t>4.5 כלי המחקר</w:t>
      </w:r>
    </w:p>
    <w:p>
      <w:pPr>
        <w:bidi w:val="1"/>
        <w:spacing w:line="360" w:lineRule="auto" w:before="0" w:after="120"/>
        <w:ind/>
        <w:jc w:val="both"/>
      </w:pPr>
      <w:r>
        <w:rPr>
          <w:rFonts w:ascii="David" w:hAnsi="David" w:cs="David"/>
          <w:b w:val="0"/>
          <w:noProof/>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noProof/>
          <w:color w:val="000000"/>
          <w:sz w:val="26"/>
          <w:szCs w:val="26"/>
          <w:rtl w:val="1"/>
          <w:rtl w:val="1"/>
        </w:rPr>
        <w:t>4.6 הליך המחקר</w:t>
      </w:r>
    </w:p>
    <w:p>
      <w:pPr>
        <w:bidi w:val="1"/>
        <w:spacing w:line="360" w:lineRule="auto" w:before="0" w:after="120"/>
        <w:ind/>
        <w:jc w:val="both"/>
      </w:pPr>
      <w:r>
        <w:rPr>
          <w:rFonts w:ascii="David" w:hAnsi="David" w:cs="David"/>
          <w:b w:val="0"/>
          <w:noProof/>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r>
        <w:rPr>
          <w:rFonts w:ascii="David" w:hAnsi="David" w:cs="David"/>
          <w:noProof/>
          <w:color w:val="000000"/>
          <w:sz w:val="24"/>
          <w:szCs w:val="24"/>
          <w:rtl w:val="1"/>
        </w:rPr>
        <w:t xml:space="preserve"> הראיונות נערכו בחודשים פברואר עד מרס 2026, בהתאם לזמינות המשתתפות.</w:t>
      </w:r>
    </w:p>
    <w:p>
      <w:pPr>
        <w:bidi w:val="1"/>
        <w:pStyle w:val="Heading2"/>
        <w:bidi w:val="1"/>
        <w:spacing w:line="360" w:lineRule="auto" w:before="280" w:after="160"/>
        <w:jc w:val="both"/>
      </w:pPr>
      <w:r>
        <w:rPr>
          <w:rFonts w:ascii="David" w:hAnsi="David" w:cs="David"/>
          <w:b/>
          <w:noProof/>
          <w:color w:val="000000"/>
          <w:sz w:val="26"/>
          <w:szCs w:val="26"/>
          <w:rtl w:val="1"/>
          <w:rtl w:val="1"/>
        </w:rPr>
        <w:t>4.7 שיטת ניתוח הנתונים</w:t>
      </w:r>
    </w:p>
    <w:p>
      <w:pPr>
        <w:bidi w:val="1"/>
        <w:spacing w:line="360" w:lineRule="auto" w:before="0" w:after="120"/>
        <w:ind/>
        <w:jc w:val="both"/>
      </w:pPr>
      <w:r>
        <w:rPr>
          <w:rFonts w:ascii="David" w:hAnsi="David" w:cs="David"/>
          <w:b w:val="0"/>
          <w:noProof/>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noProof/>
          <w:color w:val="000000"/>
          <w:sz w:val="24"/>
          <w:szCs w:val="24"/>
          <w:rtl/>
        </w:rPr>
        <w:t>בשלב השלישי מופו הקטגוריות שנחשפו מן הראיונות וקושרו לסקירת הספרות (ראו נספח 2, טבלה 2),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 על בסיס מיפוי זה נבנה עץ הקטגוריות, המציג את קטגוריית העל, הקטגוריות המרכזיות וקטגוריות המשנה, והוא מוצג בתרשים 1 בפתח פרק הממצאים.</w:t>
      </w:r>
    </w:p>
    <w:p>
      <w:pPr>
        <w:bidi w:val="1"/>
        <w:pStyle w:val="Heading2"/>
        <w:bidi w:val="1"/>
        <w:spacing w:line="360" w:lineRule="auto" w:before="280" w:after="160"/>
        <w:jc w:val="both"/>
      </w:pPr>
      <w:r>
        <w:rPr>
          <w:rFonts w:ascii="David" w:hAnsi="David" w:cs="David"/>
          <w:b/>
          <w:noProof/>
          <w:color w:val="000000"/>
          <w:sz w:val="26"/>
          <w:szCs w:val="26"/>
          <w:rtl w:val="1"/>
          <w:rtl w:val="1"/>
        </w:rPr>
        <w:t>4.8 אמינות</w:t>
      </w:r>
    </w:p>
    <w:p>
      <w:pPr>
        <w:bidi w:val="1"/>
        <w:spacing w:line="360" w:lineRule="auto" w:before="0" w:after="120"/>
        <w:ind/>
        <w:jc w:val="both"/>
      </w:pPr>
      <w:r>
        <w:rPr>
          <w:rFonts w:ascii="David" w:hAnsi="David" w:cs="David"/>
          <w:b w:val="0"/>
          <w:noProof/>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noProof/>
          <w:color w:val="000000"/>
          <w:sz w:val="26"/>
          <w:szCs w:val="26"/>
          <w:rtl w:val="1"/>
          <w:rtl w:val="1"/>
        </w:rPr>
        <w:t>4.9 אתיקה</w:t>
      </w:r>
    </w:p>
    <w:p>
      <w:pPr>
        <w:bidi w:val="1"/>
        <w:spacing w:line="360" w:lineRule="auto" w:before="0" w:after="120"/>
        <w:ind/>
        <w:jc w:val="both"/>
      </w:pPr>
      <w:r>
        <w:rPr>
          <w:rFonts w:ascii="David" w:hAnsi="David" w:cs="David"/>
          <w:b w:val="0"/>
          <w:noProof/>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noProof/>
          <w:color w:val="000000"/>
          <w:sz w:val="24"/>
          <w:szCs w:val="24"/>
          <w:rtl w:val="1"/>
        </w:rPr>
        <w:t>4.10 מגבלות המחקר</w:t>
      </w:r>
    </w:p>
    <w:p>
      <w:pPr>
        <w:bidi w:val="1"/>
        <w:spacing w:line="360" w:lineRule="auto"/>
        <w:ind/>
        <w:jc w:val="both"/>
      </w:pPr>
      <w:r>
        <w:rPr>
          <w:rFonts w:ascii="David" w:hAnsi="David" w:cs="David"/>
          <w:b w:val="0"/>
          <w:noProof/>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30"/>
          <w:szCs w:val="30"/>
          <w:rtl w:val="1"/>
          <w:rtl w:val="1"/>
        </w:rPr>
        <w:t>5. פרק הממצאים</w:t>
      </w:r>
    </w:p>
    <w:p>
      <w:pPr>
        <w:bidi w:val="1"/>
        <w:spacing w:line="360" w:lineRule="auto" w:after="120"/>
        <w:jc w:val="both"/>
      </w:pPr>
      <w:r>
        <w:rPr>
          <w:rFonts w:ascii="David" w:hAnsi="David" w:cs="David"/>
          <w:noProof/>
          <w:color w:val="000000"/>
          <w:sz w:val="24"/>
          <w:szCs w:val="24"/>
          <w:rtl/>
        </w:rPr>
        <w:t>במסגרת המחקר רואיינו שש גננות על תפיסתן את ההתנהלות הצודקת וההוגנת בגן הילדים. במהלך ניתוח הראיונות, שנערך על-פי עקרונות התיאוריה המעוגנת בשדה (גבתון, 2001), נחשפו קטגוריית-על אחת, התנהלות צודקת והוגנת בגן, ושבע קטגוריות מרכזיות המאירות את שאלת המחקר. הקטגוריות הן: תפיסת המונח "צדק בגן"; חלוקת משאב תשומת הלב הרגשית; ההבחנה בין חלוקה שווה לחלוקה הוגנת; חלוקת המשאבים הפיזיים והמרחב הקבוצתי; צדק חברתי-כלכלי ומניעת בושה; הגננת כסוכנת צדק וכמחנכת ערכים; וצדק ביחסי גננת-הורים. מבנה הקטגוריות מוצג בתרשים 1 שלהלן.</w:t>
      </w:r>
    </w:p>
    <w:p>
      <w:pPr>
        <w:bidi w:val="1"/>
        <w:spacing w:line="360" w:lineRule="auto" w:after="120"/>
        <w:jc w:val="both"/>
      </w:pPr>
      <w:r>
        <w:rPr>
          <w:rFonts w:ascii="David" w:hAnsi="David" w:cs="David"/>
          <w:b w:val="0"/>
          <w:i w:val="0"/>
          <w:noProof/>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noProof/>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noProof/>
                <w:color w:val="000000"/>
                <w:sz w:val="20"/>
                <w:szCs w:val="20"/>
                <w:rtl w:val="1"/>
              </w:rPr>
            </w:r>
            <w:r>
              <w:rPr>
                <w:rFonts w:ascii="David" w:hAnsi="David" w:cs="David"/>
                <w:b/>
                <w:noProof/>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תפיסת המונח "צדק בגן"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חלוקת תשומת הלב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שווה מול הוגן</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משאבים ומרחב</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חברתי-כלכלי</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צדק ביחסי גננת-הורים</w:t>
            </w:r>
          </w:p>
        </w:tc>
        <w:tc>
          <w:tcPr>
            <w:tcW w:type="dxa" w:w="1337"/>
          </w:tcPr>
          <w:p>
            <w:pPr>
              <w:bidi w:val="1"/>
              <w:spacing w:line="240" w:lineRule="auto"/>
              <w:jc w:val="center"/>
            </w:pPr>
            <w:r>
              <w:rPr>
                <w:rFonts w:ascii="David" w:hAnsi="David" w:cs="David"/>
                <w:b/>
                <w:noProof/>
                <w:color w:val="000000"/>
                <w:sz w:val="16"/>
                <w:szCs w:val="16"/>
                <w:rtl w:val="1"/>
              </w:rPr>
            </w:r>
            <w:r>
              <w:rPr>
                <w:rFonts w:ascii="David" w:hAnsi="David" w:cs="David"/>
                <w:b/>
                <w:noProof/>
                <w:color w:val="000000"/>
                <w:sz w:val="16"/>
                <w:szCs w:val="16"/>
                <w:rtl w:val="1"/>
              </w:rPr>
              <w:t>הגננת כסוכנת צדק</w:t>
            </w:r>
          </w:p>
        </w:tc>
      </w:tr>
      <w:tr>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ראיית הילד הבודד</w:t>
            </w:r>
            <w:r>
              <w:rPr>
                <w:rFonts w:ascii="David" w:hAnsi="David" w:cs="David"/>
                <w:noProof/>
                <w:color w:val="000000"/>
                <w:sz w:val="16"/>
                <w:szCs w:val="16"/>
                <w:rtl w:val="1"/>
              </w:rPr>
              <w:br/>
            </w:r>
            <w:r>
              <w:rPr>
                <w:rFonts w:ascii="David" w:hAnsi="David" w:cs="David"/>
                <w:b w:val="0"/>
                <w:noProof/>
                <w:color w:val="000000"/>
                <w:sz w:val="16"/>
                <w:szCs w:val="16"/>
                <w:rtl w:val="1"/>
              </w:rPr>
              <w:t>שוויון הזדמנויות</w:t>
            </w:r>
            <w:r>
              <w:rPr>
                <w:rFonts w:ascii="David" w:hAnsi="David" w:cs="David"/>
                <w:noProof/>
                <w:color w:val="000000"/>
                <w:sz w:val="16"/>
                <w:szCs w:val="16"/>
                <w:rtl w:val="1"/>
              </w:rPr>
              <w:br/>
            </w:r>
            <w:r>
              <w:rPr>
                <w:rFonts w:ascii="David" w:hAnsi="David" w:cs="David"/>
                <w:b w:val="0"/>
                <w:noProof/>
                <w:color w:val="000000"/>
                <w:sz w:val="16"/>
                <w:szCs w:val="16"/>
                <w:rtl w:val="1"/>
              </w:rPr>
              <w:t>הקשבה וניהול מתחים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עיקרון הצורך</w:t>
            </w:r>
            <w:r>
              <w:rPr>
                <w:rFonts w:ascii="David" w:hAnsi="David" w:cs="David"/>
                <w:noProof/>
                <w:color w:val="000000"/>
                <w:sz w:val="16"/>
                <w:szCs w:val="16"/>
                <w:rtl w:val="1"/>
              </w:rPr>
              <w:br/>
            </w:r>
            <w:r>
              <w:rPr>
                <w:rFonts w:ascii="David" w:hAnsi="David" w:cs="David"/>
                <w:b w:val="0"/>
                <w:noProof/>
                <w:color w:val="000000"/>
                <w:sz w:val="16"/>
                <w:szCs w:val="16"/>
                <w:rtl w:val="1"/>
              </w:rPr>
              <w:t>הילד השקט</w:t>
            </w:r>
            <w:r>
              <w:rPr>
                <w:rFonts w:ascii="David" w:hAnsi="David" w:cs="David"/>
                <w:noProof/>
                <w:color w:val="000000"/>
                <w:sz w:val="16"/>
                <w:szCs w:val="16"/>
                <w:rtl w:val="1"/>
              </w:rPr>
              <w:br/>
            </w:r>
            <w:r>
              <w:rPr>
                <w:rFonts w:ascii="David" w:hAnsi="David" w:cs="David"/>
                <w:b w:val="0"/>
                <w:noProof/>
                <w:color w:val="000000"/>
                <w:sz w:val="16"/>
                <w:szCs w:val="16"/>
                <w:rtl w:val="1"/>
              </w:rPr>
              <w:t>שיטתיות ומודעות</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ההבחנה העקרונית</w:t>
            </w:r>
            <w:r>
              <w:rPr>
                <w:rFonts w:ascii="David" w:hAnsi="David" w:cs="David"/>
                <w:noProof/>
                <w:color w:val="000000"/>
                <w:sz w:val="16"/>
                <w:szCs w:val="16"/>
                <w:rtl w:val="1"/>
              </w:rPr>
              <w:br/>
            </w:r>
            <w:r>
              <w:rPr>
                <w:rFonts w:ascii="David" w:hAnsi="David" w:cs="David"/>
                <w:b w:val="0"/>
                <w:noProof/>
                <w:color w:val="000000"/>
                <w:sz w:val="16"/>
                <w:szCs w:val="16"/>
                <w:rtl w:val="1"/>
              </w:rPr>
              <w:t>הנחלה לילדים</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שקיפות ותור</w:t>
            </w:r>
            <w:r>
              <w:rPr>
                <w:rFonts w:ascii="David" w:hAnsi="David" w:cs="David"/>
                <w:noProof/>
                <w:color w:val="000000"/>
                <w:sz w:val="16"/>
                <w:szCs w:val="16"/>
                <w:rtl w:val="1"/>
              </w:rPr>
              <w:br/>
            </w:r>
            <w:r>
              <w:rPr>
                <w:rFonts w:ascii="David" w:hAnsi="David" w:cs="David"/>
                <w:b w:val="0"/>
                <w:noProof/>
                <w:color w:val="000000"/>
                <w:sz w:val="16"/>
                <w:szCs w:val="16"/>
                <w:rtl w:val="1"/>
              </w:rPr>
              <w:t>הכלל הגלוי</w:t>
            </w:r>
            <w:r>
              <w:rPr>
                <w:rFonts w:ascii="David" w:hAnsi="David" w:cs="David"/>
                <w:noProof/>
                <w:color w:val="000000"/>
                <w:sz w:val="16"/>
                <w:szCs w:val="16"/>
                <w:rtl w:val="1"/>
              </w:rPr>
              <w:br/>
            </w:r>
            <w:r>
              <w:rPr>
                <w:rFonts w:ascii="David" w:hAnsi="David" w:cs="David"/>
                <w:b w:val="0"/>
                <w:noProof/>
                <w:color w:val="000000"/>
                <w:sz w:val="16"/>
                <w:szCs w:val="16"/>
                <w:rtl w:val="1"/>
              </w:rPr>
              <w:t>איזון והדרה</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מניעת בושה</w:t>
            </w:r>
            <w:r>
              <w:rPr>
                <w:rFonts w:ascii="David" w:hAnsi="David" w:cs="David"/>
                <w:noProof/>
                <w:color w:val="000000"/>
                <w:sz w:val="16"/>
                <w:szCs w:val="16"/>
                <w:rtl w:val="1"/>
              </w:rPr>
              <w:br/>
            </w:r>
            <w:r>
              <w:rPr>
                <w:rFonts w:ascii="David" w:hAnsi="David" w:cs="David"/>
                <w:b w:val="0"/>
                <w:noProof/>
                <w:color w:val="000000"/>
                <w:sz w:val="16"/>
                <w:szCs w:val="16"/>
                <w:rtl w:val="1"/>
              </w:rPr>
              <w:t>הגן כמרחב מתקן</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דרישות ליחס מועדף</w:t>
            </w:r>
            <w:r>
              <w:rPr>
                <w:rFonts w:ascii="David" w:hAnsi="David" w:cs="David"/>
                <w:noProof/>
                <w:color w:val="000000"/>
                <w:sz w:val="16"/>
                <w:szCs w:val="16"/>
                <w:rtl w:val="1"/>
              </w:rPr>
              <w:br/>
            </w:r>
            <w:r>
              <w:rPr>
                <w:rFonts w:ascii="David" w:hAnsi="David" w:cs="David"/>
                <w:b w:val="0"/>
                <w:noProof/>
                <w:color w:val="000000"/>
                <w:sz w:val="16"/>
                <w:szCs w:val="16"/>
                <w:rtl w:val="1"/>
              </w:rPr>
              <w:t>ייצוג הילד החלש</w:t>
            </w:r>
          </w:p>
        </w:tc>
        <w:tc>
          <w:tcPr>
            <w:tcW w:type="dxa" w:w="1337"/>
          </w:tcPr>
          <w:p>
            <w:pPr>
              <w:bidi w:val="1"/>
              <w:spacing w:line="240" w:lineRule="auto"/>
              <w:jc w:val="center"/>
            </w:pPr>
            <w:r>
              <w:rPr>
                <w:rFonts w:ascii="David" w:hAnsi="David" w:cs="David"/>
                <w:noProof/>
                <w:color w:val="000000"/>
                <w:sz w:val="16"/>
                <w:szCs w:val="16"/>
                <w:rtl w:val="1"/>
              </w:rPr>
            </w:r>
            <w:r>
              <w:rPr>
                <w:rFonts w:ascii="David" w:hAnsi="David" w:cs="David"/>
                <w:b w:val="0"/>
                <w:noProof/>
                <w:color w:val="000000"/>
                <w:sz w:val="16"/>
                <w:szCs w:val="16"/>
                <w:rtl w:val="1"/>
              </w:rPr>
              <w:t>דוגמה אישית</w:t>
            </w:r>
            <w:r>
              <w:rPr>
                <w:rFonts w:ascii="David" w:hAnsi="David" w:cs="David"/>
                <w:noProof/>
                <w:color w:val="000000"/>
                <w:sz w:val="16"/>
                <w:szCs w:val="16"/>
                <w:rtl w:val="1"/>
              </w:rPr>
              <w:br/>
            </w:r>
            <w:r>
              <w:rPr>
                <w:rFonts w:ascii="David" w:hAnsi="David" w:cs="David"/>
                <w:b w:val="0"/>
                <w:noProof/>
                <w:color w:val="000000"/>
                <w:sz w:val="16"/>
                <w:szCs w:val="16"/>
                <w:rtl w:val="1"/>
              </w:rPr>
              <w:t>שליחות ושונות</w:t>
            </w:r>
          </w:p>
        </w:tc>
      </w:tr>
    </w:tbl>
    <w:p>
      <w:pPr>
        <w:bidi w:val="1"/>
        <w:spacing w:line="360" w:lineRule="auto" w:after="40"/>
        <w:jc w:val="both"/>
      </w:pPr>
      <w:r>
        <w:rPr>
          <w:rFonts w:ascii="David" w:hAnsi="David" w:cs="David"/>
          <w:b w:val="0"/>
          <w:i w:val="0"/>
          <w:noProof/>
          <w:color w:val="000000"/>
          <w:sz w:val="12"/>
          <w:szCs w:val="12"/>
          <w:rtl w:val="1"/>
        </w:rPr>
      </w:r>
    </w:p>
    <w:p>
      <w:pPr>
        <w:bidi w:val="1"/>
        <w:pStyle w:val="Heading2"/>
        <w:bidi w:val="1"/>
        <w:spacing w:line="360" w:lineRule="auto" w:after="120"/>
        <w:jc w:val="right"/>
      </w:pPr>
      <w:r>
        <w:rPr>
          <w:rFonts w:ascii="David" w:hAnsi="David" w:cs="David"/>
          <w:b/>
          <w:i w:val="0"/>
          <w:noProof/>
          <w:color w:val="000000"/>
          <w:sz w:val="24"/>
          <w:szCs w:val="24"/>
          <w:rtl w:val="1"/>
        </w:rPr>
        <w:t>5.1 תפיסת המונח "צדק בגן"</w:t>
      </w:r>
    </w:p>
    <w:p>
      <w:pPr>
        <w:bidi w:val="1"/>
        <w:spacing w:line="360" w:lineRule="auto" w:after="120"/>
        <w:jc w:val="both"/>
      </w:pPr>
      <w:r>
        <w:rPr>
          <w:rFonts w:ascii="David" w:hAnsi="David" w:cs="David"/>
          <w:noProof/>
          <w:color w:val="000000"/>
          <w:sz w:val="24"/>
          <w:szCs w:val="24"/>
          <w:rtl/>
        </w:rPr>
        <w:t>כל שש המרואיינות התייחסו למונח "צדק בגן" כאל סוגיה חיה ויומיומית, ולא כאל מושג מופשט. בפתח כל ראיון הן נתבקשו לתאר מה עולה בדעתן כשהן שומעות את המונח, ומן הדגשים השונים שנתנו לו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noProof/>
          <w:color w:val="000000"/>
          <w:sz w:val="24"/>
          <w:szCs w:val="24"/>
          <w:rtl/>
        </w:rPr>
        <w:t>מדבריה עולה כי חוש הצדק של הילדים עצמם הוא נקודת הייחוס הראשונה של הגננת: הילדים מזהים אי-הוגנות בשנייה, והגננת נדרשת להתייחס לכך ברצינות.</w:t>
      </w:r>
    </w:p>
    <w:p>
      <w:pPr>
        <w:bidi w:val="1"/>
        <w:spacing w:line="360" w:lineRule="auto"/>
        <w:jc w:val="both"/>
      </w:pPr>
      <w:r>
        <w:rPr>
          <w:rFonts w:ascii="David" w:hAnsi="David" w:cs="David"/>
          <w:noProof/>
          <w:color w:val="000000"/>
          <w:sz w:val="24"/>
          <w:szCs w:val="24"/>
          <w:rtl/>
        </w:rPr>
        <w:t>מחקרים מעידים על כך שרגישות לחלוקה הוגנת מופיעה כבר בגיל הרך: ילדים בגיל הגן מזהים חלוקה בלתי שוויונית, מגיבים אליה רגשית, ואף מוכנים לשלם מחיר כדי לתקנה (Grütter et al., 2024).</w:t>
      </w:r>
    </w:p>
    <w:p>
      <w:pPr>
        <w:bidi w:val="1"/>
        <w:pStyle w:val="Heading3"/>
        <w:bidi w:val="1"/>
        <w:spacing w:line="360" w:lineRule="auto" w:after="120"/>
        <w:jc w:val="right"/>
      </w:pPr>
      <w:r>
        <w:rPr>
          <w:rFonts w:ascii="David" w:hAnsi="David" w:cs="David"/>
          <w:b/>
          <w:i w:val="0"/>
          <w:noProof/>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noProof/>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noProof/>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noProof/>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noProof/>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noProof/>
          <w:color w:val="000000"/>
          <w:sz w:val="24"/>
          <w:szCs w:val="24"/>
          <w:rtl/>
        </w:rPr>
        <w:t>שתי המרואיינות מציגות אפוא את הצדק כעבודה פרשנית מתמשכת, שבה הגננת נדרשת להכיר כל ילד לעומק כתנאי לחלוקה צודקת.</w:t>
      </w:r>
    </w:p>
    <w:p>
      <w:pPr>
        <w:bidi w:val="1"/>
        <w:spacing w:line="360" w:lineRule="auto"/>
        <w:jc w:val="both"/>
      </w:pPr>
      <w:r>
        <w:rPr>
          <w:rFonts w:ascii="David" w:hAnsi="David" w:cs="David"/>
          <w:noProof/>
          <w:color w:val="000000"/>
          <w:sz w:val="24"/>
          <w:szCs w:val="24"/>
          <w:rtl/>
        </w:rPr>
        <w:t>מחקרים מעידים על כך שחלוקה צודקת על-פי עיקרון הצורך נקבעת לפי צרכיו של הפרט ולא לפי זהות המנות, וכי עיקרון זה עומד בבסיס הגישה הרב-ממדית לצדק חלוקתי (Connell, 1993; סבג וביברמן-שלו, 2014). ממצאים דומים עלו אצל לי ואחרים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noProof/>
          <w:color w:val="000000"/>
          <w:sz w:val="24"/>
          <w:szCs w:val="24"/>
          <w:rtl w:val="1"/>
        </w:rPr>
        <w:t>5.1.2 צדק כשוויון הזדמנויות וכצמצום פערים</w:t>
      </w:r>
    </w:p>
    <w:p>
      <w:pPr>
        <w:bidi w:val="1"/>
        <w:spacing w:line="360" w:lineRule="auto" w:after="120"/>
        <w:jc w:val="both"/>
      </w:pPr>
      <w:r>
        <w:rPr>
          <w:rFonts w:ascii="David" w:hAnsi="David" w:cs="David"/>
          <w:noProof/>
          <w:color w:val="000000"/>
          <w:sz w:val="24"/>
          <w:szCs w:val="24"/>
          <w:rtl/>
        </w:rPr>
        <w:t>שתיים מתוך שש המרואיינות, ובעיקר אלה העובדות עם אוכלוסיות מוחלשות, הבליטו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noProof/>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noProof/>
          <w:color w:val="000000"/>
          <w:sz w:val="24"/>
          <w:szCs w:val="24"/>
          <w:rtl/>
        </w:rPr>
        <w:t>בדבריה מתבטאת התפיסה המהותית של שוויון ההזדמנויות: לא הסתפקות בזכויות שוות על הנייר, אלא פעולה אקטיבית לצמצום הפער שעמו מגיעים ילדים מרקע מוחלש. ראוי לשים לב כי אצל מרואיינת זו הצדק אינו מתמצה ביחסים שבתוך הגן, אלא מופנה כלפי אי-השוויון החברתי שמחוץ לו, והגן נתפס ככלי לתיקונו.</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הקצאת משאבים מוגברת דווקא למי שנקודת הפתיחה שלו נמוכה, שכן זכויות שוות על הנייר אינן מבטלות פערים בנקודת הפתיחה (דהאן, 2010; אדלר ובלס, 2009). תפיסת השליחות העולה מן הדברים מהדהדת גם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noProof/>
          <w:color w:val="000000"/>
          <w:sz w:val="24"/>
          <w:szCs w:val="24"/>
          <w:rtl w:val="1"/>
        </w:rPr>
        <w:t>5.1.3 צדק כהקשבה וכניהול מתחים בין צרכים</w:t>
      </w:r>
    </w:p>
    <w:p>
      <w:pPr>
        <w:bidi w:val="1"/>
        <w:spacing w:line="360" w:lineRule="auto" w:after="120"/>
        <w:jc w:val="both"/>
      </w:pPr>
      <w:r>
        <w:rPr>
          <w:rFonts w:ascii="David" w:hAnsi="David" w:cs="David"/>
          <w:noProof/>
          <w:color w:val="000000"/>
          <w:sz w:val="24"/>
          <w:szCs w:val="24"/>
          <w:rtl/>
        </w:rPr>
        <w:t>מרואיינת אחת מתוך השש,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noProof/>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noProof/>
          <w:color w:val="000000"/>
          <w:sz w:val="24"/>
          <w:szCs w:val="24"/>
          <w:rtl/>
        </w:rPr>
        <w:t>תפיסה זו מעתיקה את מרכז הכובד מן התוצאה אל ההליך: השאלה אינה רק מה קיבל כל ילד, אלא האם הוא חש שרואים ושומעים אותו. קטגוריית משנה זו, שנשענה על שני קולות, מוסיפה ממד שאינו מודגש אצל יתר המרואיינות, ולכן הובאה כאן בהרחבה.</w:t>
      </w:r>
    </w:p>
    <w:p>
      <w:pPr>
        <w:bidi w:val="1"/>
        <w:spacing w:line="360" w:lineRule="auto" w:after="120"/>
        <w:jc w:val="both"/>
      </w:pPr>
      <w:r>
        <w:rPr>
          <w:rFonts w:ascii="David" w:hAnsi="David" w:cs="David"/>
          <w:noProof/>
          <w:color w:val="000000"/>
          <w:sz w:val="24"/>
          <w:szCs w:val="24"/>
          <w:rtl w:val="1"/>
        </w:rPr>
        <w:t>תפיסה קרובה, המדגישה אף היא את הממד הדינמי של הצדק, עלתה מדברי מרואיינת 2, הוותיקה שבמרואיינות, שדימתה את הצדק למלאכת איזון מתמדת:</w:t>
      </w:r>
    </w:p>
    <w:p>
      <w:pPr>
        <w:bidi w:val="1"/>
        <w:spacing w:line="360" w:lineRule="auto" w:after="160"/>
        <w:ind w:right="600" w:left="600"/>
        <w:jc w:val="both"/>
      </w:pPr>
      <w:r>
        <w:rPr>
          <w:rFonts w:ascii="David" w:hAnsi="David" w:cs="David"/>
          <w:i/>
          <w:noProof/>
          <w:color w:val="000000"/>
          <w:sz w:val="24"/>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(מרואיינת 2, ראיון מיום 11.2.2026, נספח 3)</w:t>
      </w:r>
    </w:p>
    <w:p>
      <w:pPr>
        <w:bidi w:val="1"/>
        <w:spacing w:line="360" w:lineRule="auto" w:after="120"/>
        <w:jc w:val="both"/>
      </w:pPr>
      <w:r>
        <w:rPr>
          <w:rFonts w:ascii="David" w:hAnsi="David" w:cs="David"/>
          <w:noProof/>
          <w:color w:val="000000"/>
          <w:sz w:val="24"/>
          <w:szCs w:val="24"/>
          <w:rtl w:val="1"/>
        </w:rPr>
        <w:t>דימוי המאזניים מלמד כי בעיני המרואיינת הצדק אינו מצב שמגיעים אליו אלא תהליך של כיוון מתמיד, הדורש ערנות ונכונות לתקן. בכך מצטרפים דבריה לתפיסת הצדק כהליך מתמשך של הקשבה, ומחזקים את המסקנה שכלל המרואיינות, כל אחת בדגש שלה, תופסות את הצדק כעשייה פעילה ולא כנתון קבוע.</w:t>
      </w:r>
    </w:p>
    <w:p>
      <w:pPr>
        <w:bidi w:val="1"/>
        <w:spacing w:line="360" w:lineRule="auto"/>
        <w:jc w:val="both"/>
      </w:pPr>
      <w:r>
        <w:rPr>
          <w:rFonts w:ascii="David" w:hAnsi="David" w:cs="David"/>
          <w:noProof/>
          <w:color w:val="000000"/>
          <w:sz w:val="24"/>
          <w:szCs w:val="24"/>
          <w:rtl/>
        </w:rPr>
        <w:t>מחקרים מעידים על כך שאיכות היחס, הכבוד וההליך ההוגן הם מרכיבים מרכזיים בחוויית הצדק של הלומד, לצד התוצאה החלוקתית עצמה, כפי שמלמדים מושגי הצדק האינטראקציוני והפרוצדורלי (Horan et al., 2010; Jiang et al., 2018).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noProof/>
          <w:color w:val="000000"/>
          <w:sz w:val="24"/>
          <w:szCs w:val="24"/>
          <w:rtl w:val="1"/>
        </w:rPr>
        <w:t>5.2 חלוקת משאב תשומת הלב הרגשית</w:t>
      </w:r>
    </w:p>
    <w:p>
      <w:pPr>
        <w:bidi w:val="1"/>
        <w:spacing w:line="360" w:lineRule="auto" w:after="120"/>
        <w:jc w:val="both"/>
      </w:pPr>
      <w:r>
        <w:rPr>
          <w:rFonts w:ascii="David" w:hAnsi="David" w:cs="David"/>
          <w:b w:val="0"/>
          <w:i w:val="0"/>
          <w:noProof/>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noProof/>
          <w:color w:val="000000"/>
          <w:sz w:val="24"/>
          <w:szCs w:val="24"/>
          <w:rtl w:val="1"/>
        </w:rPr>
        <w:t>5.2.1 חלוקה לפי עיקרון הצורך</w:t>
      </w:r>
    </w:p>
    <w:p>
      <w:pPr>
        <w:bidi w:val="1"/>
        <w:spacing w:line="360" w:lineRule="auto" w:after="120"/>
        <w:jc w:val="both"/>
      </w:pPr>
      <w:r>
        <w:rPr>
          <w:rFonts w:ascii="David" w:hAnsi="David" w:cs="David"/>
          <w:b w:val="0"/>
          <w:i w:val="0"/>
          <w:noProof/>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noProof/>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noProof/>
          <w:color w:val="000000"/>
          <w:sz w:val="24"/>
          <w:szCs w:val="24"/>
          <w:rtl/>
        </w:rPr>
        <w:t>הפתרון שהיא מציעה, מתן התוספת בזמנים שאינם באים על חשבון הקבוצה, הוא פתרון מעשי למתח המובנה שבין אינטרס הפרט לטובת הכלל.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noProof/>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noProof/>
          <w:color w:val="000000"/>
          <w:sz w:val="24"/>
          <w:szCs w:val="24"/>
          <w:rtl/>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w:t>
      </w:r>
    </w:p>
    <w:p>
      <w:pPr>
        <w:bidi w:val="1"/>
        <w:spacing w:line="360" w:lineRule="auto"/>
        <w:jc w:val="both"/>
      </w:pPr>
      <w:r>
        <w:rPr>
          <w:rFonts w:ascii="David" w:hAnsi="David" w:cs="David"/>
          <w:noProof/>
          <w:color w:val="000000"/>
          <w:sz w:val="24"/>
          <w:szCs w:val="24"/>
          <w:rtl/>
        </w:rPr>
        <w:t>מחקרים מעידים על כך שהמתח שבין אינטרס הפרט לטובת הכלל הוא חלק בלתי נפרד מן העשייה החינוכית בתנאי משאבים מוגבלים (סבג וביברמן-שלו, 2014). עוד עולה מן הספרות כי עקרונות הצדק, שוויון, צורך והוגנות, אינם מוציאים זה את זה אלא פועלים זה לצד זה בהתאם להקשר (Deutsch, 1985), ממש כפי ששילוב שתי מערכות החלוקה בדברי המרואיינות מדגים.</w:t>
      </w:r>
    </w:p>
    <w:p>
      <w:pPr>
        <w:bidi w:val="1"/>
        <w:pStyle w:val="Heading3"/>
        <w:bidi w:val="1"/>
        <w:spacing w:line="360" w:lineRule="auto" w:after="120"/>
        <w:jc w:val="right"/>
      </w:pPr>
      <w:r>
        <w:rPr>
          <w:rFonts w:ascii="David" w:hAnsi="David" w:cs="David"/>
          <w:b/>
          <w:i w:val="0"/>
          <w:noProof/>
          <w:color w:val="000000"/>
          <w:sz w:val="24"/>
          <w:szCs w:val="24"/>
          <w:rtl w:val="1"/>
        </w:rPr>
        <w:t>5.2.2 הילד השקט: מאבק בעוול הסמוי</w:t>
      </w:r>
    </w:p>
    <w:p>
      <w:pPr>
        <w:bidi w:val="1"/>
        <w:spacing w:line="360" w:lineRule="auto" w:after="120"/>
        <w:jc w:val="both"/>
      </w:pPr>
      <w:r>
        <w:rPr>
          <w:rFonts w:ascii="David" w:hAnsi="David" w:cs="David"/>
          <w:noProof/>
          <w:color w:val="000000"/>
          <w:sz w:val="24"/>
          <w:szCs w:val="24"/>
          <w:rtl/>
        </w:rPr>
        <w:t>חמש מתוך שש המרואיינות גילו מודעות מפורשת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noProof/>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noProof/>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noProof/>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noProof/>
          <w:color w:val="000000"/>
          <w:sz w:val="24"/>
          <w:szCs w:val="24"/>
          <w:rtl/>
        </w:rPr>
        <w:t>שתי המרואיינות מתארות אפוא את הצדק בחלוקת הקשב כהישג שיש להיאבק עליו נגד נטייה טבעית, ולא כמצב נתון.</w:t>
      </w:r>
    </w:p>
    <w:p>
      <w:pPr>
        <w:bidi w:val="1"/>
        <w:spacing w:line="360" w:lineRule="auto"/>
        <w:jc w:val="both"/>
      </w:pPr>
      <w:r>
        <w:rPr>
          <w:rFonts w:ascii="David" w:hAnsi="David" w:cs="David"/>
          <w:noProof/>
          <w:color w:val="000000"/>
          <w:sz w:val="24"/>
          <w:szCs w:val="24"/>
          <w:rtl/>
        </w:rPr>
        <w:t>מחקרים מעידים על כך שתחושת הנראות של הלומד היא מרכיב מרכזי בחוויית הצדק האינטראקציוני: יחס של כבוד והתייחסות אישית מצד המחנכת נתפסים בעיני הלומדים כביטוי מובהק של הוגנות, ולכן חלוקה בלתי מודעת של הקשב עלולה להיחוות כעוול (Horan et al., 2010; Jiang et al., 2018).</w:t>
      </w:r>
    </w:p>
    <w:p>
      <w:pPr>
        <w:bidi w:val="1"/>
        <w:pStyle w:val="Heading3"/>
        <w:bidi w:val="1"/>
        <w:spacing w:line="360" w:lineRule="auto" w:after="120"/>
        <w:jc w:val="right"/>
      </w:pPr>
      <w:r>
        <w:rPr>
          <w:rFonts w:ascii="David" w:hAnsi="David" w:cs="David"/>
          <w:b/>
          <w:i w:val="0"/>
          <w:noProof/>
          <w:color w:val="000000"/>
          <w:sz w:val="24"/>
          <w:szCs w:val="24"/>
          <w:rtl w:val="1"/>
        </w:rPr>
        <w:t>5.2.3 שיטתיות ומודעות בחלוקת הקשב</w:t>
      </w:r>
    </w:p>
    <w:p>
      <w:pPr>
        <w:bidi w:val="1"/>
        <w:spacing w:line="360" w:lineRule="auto" w:after="120"/>
        <w:jc w:val="both"/>
      </w:pPr>
      <w:r>
        <w:rPr>
          <w:rFonts w:ascii="David" w:hAnsi="David" w:cs="David"/>
          <w:noProof/>
          <w:color w:val="000000"/>
          <w:sz w:val="24"/>
          <w:szCs w:val="24"/>
          <w:rtl/>
        </w:rPr>
        <w:t>ארבע מתוך שש המרואיינות תיארו, כמענה לסכנה זו,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noProof/>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noProof/>
          <w:color w:val="000000"/>
          <w:sz w:val="24"/>
          <w:szCs w:val="24"/>
          <w:rtl/>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w:t>
      </w:r>
    </w:p>
    <w:p>
      <w:pPr>
        <w:bidi w:val="1"/>
        <w:spacing w:line="360" w:lineRule="auto"/>
        <w:jc w:val="both"/>
      </w:pPr>
      <w:r>
        <w:rPr>
          <w:rFonts w:ascii="David" w:hAnsi="David" w:cs="David"/>
          <w:noProof/>
          <w:color w:val="000000"/>
          <w:sz w:val="24"/>
          <w:szCs w:val="24"/>
          <w:rtl/>
        </w:rPr>
        <w:t>מחקרים מעידים על כך שתפיסות הצדק של מורים נבחנות בדרך כלל סביב משאבים מדידים דוגמת ציונים ותגמולים (קרמרסקי ורש, 2004). ממצאי המחקר הנוכחי מחדדים את ייחודו של הגן כזירת צדק חלוקתי, שבה המשאב המחולק אינו ניתן לרישום, ולכן חלוקתו עלולה להיעלם מן העין ללא מעקב מכוון.</w:t>
      </w:r>
    </w:p>
    <w:p>
      <w:pPr>
        <w:bidi w:val="1"/>
        <w:pStyle w:val="Heading2"/>
        <w:bidi w:val="1"/>
        <w:spacing w:line="360" w:lineRule="auto" w:after="120"/>
        <w:jc w:val="right"/>
      </w:pPr>
      <w:r>
        <w:rPr>
          <w:rFonts w:ascii="David" w:hAnsi="David" w:cs="David"/>
          <w:b/>
          <w:i w:val="0"/>
          <w:noProof/>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noProof/>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noProof/>
          <w:color w:val="000000"/>
          <w:sz w:val="24"/>
          <w:szCs w:val="24"/>
          <w:rtl w:val="1"/>
        </w:rPr>
        <w:t>5.3.1 ההבחנה העקרונית ויישומיה</w:t>
      </w:r>
    </w:p>
    <w:p>
      <w:pPr>
        <w:bidi w:val="1"/>
        <w:spacing w:line="360" w:lineRule="auto" w:after="120"/>
        <w:jc w:val="both"/>
      </w:pPr>
      <w:r>
        <w:rPr>
          <w:rFonts w:ascii="David" w:hAnsi="David" w:cs="David"/>
          <w:noProof/>
          <w:color w:val="000000"/>
          <w:sz w:val="24"/>
          <w:szCs w:val="24"/>
          <w:rtl/>
        </w:rPr>
        <w:t>כל שש המרואיינות הבחינו באופן חד בין חלוקה שווה לחלוקה הוגנת, ולא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noProof/>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noProof/>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noProof/>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noProof/>
          <w:color w:val="000000"/>
          <w:sz w:val="24"/>
          <w:szCs w:val="24"/>
          <w:rtl w:val="1"/>
        </w:rPr>
        <w:t>אותה הבחנה עצמה חזרה, בזעיר אנפין, גם אצל מרואיינת 1, בדוגמה מזמן הארוחה:</w:t>
      </w:r>
    </w:p>
    <w:p>
      <w:pPr>
        <w:bidi w:val="1"/>
        <w:spacing w:line="360" w:lineRule="auto" w:after="160"/>
        <w:ind w:right="600" w:left="600"/>
        <w:jc w:val="both"/>
      </w:pPr>
      <w:r>
        <w:rPr>
          <w:rFonts w:ascii="David" w:hAnsi="David" w:cs="David"/>
          <w:i/>
          <w:noProof/>
          <w:color w:val="000000"/>
          <w:sz w:val="24"/>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(מרואיינת 1, ראיון מיום 4.2.2026, נספח 3)</w:t>
      </w:r>
    </w:p>
    <w:p>
      <w:pPr>
        <w:bidi w:val="1"/>
        <w:spacing w:line="360" w:lineRule="auto" w:after="120"/>
        <w:jc w:val="both"/>
      </w:pPr>
      <w:r>
        <w:rPr>
          <w:rFonts w:ascii="David" w:hAnsi="David" w:cs="David"/>
          <w:noProof/>
          <w:color w:val="000000"/>
          <w:sz w:val="24"/>
          <w:szCs w:val="24"/>
          <w:rtl/>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הדוגמאות כולן, שעלו אצל ארבע מרואיינות שונות, מבטאות את המעבר מן התפיסה הפורמלית של השוויון אל התפיסה המהותית של ההוגנות, שבמרכזה התאמת המשאבים לנקודת הפתיחה של הילד.</w:t>
      </w:r>
    </w:p>
    <w:p>
      <w:pPr>
        <w:bidi w:val="1"/>
        <w:spacing w:line="360" w:lineRule="auto"/>
        <w:jc w:val="both"/>
      </w:pPr>
      <w:r>
        <w:rPr>
          <w:rFonts w:ascii="David" w:hAnsi="David" w:cs="David"/>
          <w:noProof/>
          <w:color w:val="000000"/>
          <w:sz w:val="24"/>
          <w:szCs w:val="24"/>
          <w:rtl/>
        </w:rPr>
        <w:t>מחקרים מעידים על כך שההבחנה בין שוויון פורמלי להוגנות מהותית עומדת בלב תיאוריות הצדק החלוקתי בחינוך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noProof/>
          <w:color w:val="000000"/>
          <w:sz w:val="24"/>
          <w:szCs w:val="24"/>
          <w:rtl w:val="1"/>
        </w:rPr>
        <w:t>5.3.2 הנחלת ההבחנה לילדים</w:t>
      </w:r>
    </w:p>
    <w:p>
      <w:pPr>
        <w:bidi w:val="1"/>
        <w:spacing w:line="360" w:lineRule="auto" w:after="120"/>
        <w:jc w:val="both"/>
      </w:pPr>
      <w:r>
        <w:rPr>
          <w:rFonts w:ascii="David" w:hAnsi="David" w:cs="David"/>
          <w:noProof/>
          <w:color w:val="000000"/>
          <w:sz w:val="24"/>
          <w:szCs w:val="24"/>
          <w:rtl/>
        </w:rPr>
        <w:t>ארבע מתוך שש המרואיינות תיארו כיצד הן מלמדות את ההבחנה בין שווה להוגן במפורש את הילדים, ממצא מפתיע בעוצמתו, המלמד שההבחנה אינה נשארת נחלת הגננת בלבד.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noProof/>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noProof/>
          <w:color w:val="000000"/>
          <w:sz w:val="24"/>
          <w:szCs w:val="24"/>
          <w:rtl/>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w:t>
      </w:r>
    </w:p>
    <w:p>
      <w:pPr>
        <w:bidi w:val="1"/>
        <w:spacing w:line="360" w:lineRule="auto"/>
        <w:jc w:val="both"/>
      </w:pPr>
      <w:r>
        <w:rPr>
          <w:rFonts w:ascii="David" w:hAnsi="David" w:cs="David"/>
          <w:noProof/>
          <w:color w:val="000000"/>
          <w:sz w:val="24"/>
          <w:szCs w:val="24"/>
          <w:rtl/>
        </w:rPr>
        <w:t>מחקרים מעידים על כך שהיכולת להעדיף חלוקה מבוססת-צורך מתגבשת בגיל הגן ומתבססת בשנות בית הספר (Grütter et al., 2024; Elenbaas &amp; Mistry, 2021). ממצאי המחקר הנוכחי מוסיפים לכך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noProof/>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noProof/>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noProof/>
          <w:color w:val="000000"/>
          <w:sz w:val="24"/>
          <w:szCs w:val="24"/>
          <w:rtl w:val="1"/>
        </w:rPr>
        <w:t>5.4.1 שקיפות, תור וצפיות ככלי הוגנות</w:t>
      </w:r>
    </w:p>
    <w:p>
      <w:pPr>
        <w:bidi w:val="1"/>
        <w:spacing w:line="360" w:lineRule="auto" w:after="120"/>
        <w:jc w:val="both"/>
      </w:pPr>
      <w:r>
        <w:rPr>
          <w:rFonts w:ascii="David" w:hAnsi="David" w:cs="David"/>
          <w:noProof/>
          <w:color w:val="000000"/>
          <w:sz w:val="24"/>
          <w:szCs w:val="24"/>
          <w:rtl/>
        </w:rPr>
        <w:t>שש מתוך שש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noProof/>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noProof/>
          <w:color w:val="000000"/>
          <w:sz w:val="24"/>
          <w:szCs w:val="24"/>
          <w:rtl/>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מגן בפני עצמו.</w:t>
      </w:r>
    </w:p>
    <w:p>
      <w:pPr>
        <w:bidi w:val="1"/>
        <w:spacing w:line="360" w:lineRule="auto" w:after="120"/>
        <w:jc w:val="both"/>
      </w:pPr>
      <w:r>
        <w:rPr>
          <w:rFonts w:ascii="David" w:hAnsi="David" w:cs="David"/>
          <w:noProof/>
          <w:color w:val="000000"/>
          <w:sz w:val="24"/>
          <w:szCs w:val="24"/>
          <w:rtl w:val="1"/>
        </w:rPr>
        <w:t>מרואיינת 1 הוסיפה לממד השקיפות גם את ממד הנגישות, ותיארה כיצד סידור הגן עצמו הוא אמירה של הוגנות:</w:t>
      </w:r>
    </w:p>
    <w:p>
      <w:pPr>
        <w:bidi w:val="1"/>
        <w:spacing w:line="360" w:lineRule="auto" w:after="160"/>
        <w:ind w:right="600" w:left="600"/>
        <w:jc w:val="both"/>
      </w:pPr>
      <w:r>
        <w:rPr>
          <w:rFonts w:ascii="David" w:hAnsi="David" w:cs="David"/>
          <w:i/>
          <w:noProof/>
          <w:color w:val="000000"/>
          <w:sz w:val="24"/>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(מרואיינת 1, ראיון מיום 4.2.2026, נספח 3)</w:t>
      </w:r>
    </w:p>
    <w:p>
      <w:pPr>
        <w:bidi w:val="1"/>
        <w:spacing w:line="360" w:lineRule="auto" w:after="120"/>
        <w:jc w:val="both"/>
      </w:pPr>
      <w:r>
        <w:rPr>
          <w:rFonts w:ascii="David" w:hAnsi="David" w:cs="David"/>
          <w:noProof/>
          <w:color w:val="000000"/>
          <w:sz w:val="24"/>
          <w:szCs w:val="24"/>
          <w:rtl w:val="1"/>
        </w:rPr>
        <w:t>לדבריה, העמדת החומרים בגובה הילדים, כך שכל ילד מגיע אליהם בלי לבקש רשות, משדרת שהגן שייך לכולם, ואילו הכלל שצעצוע שהובא מהבית הופך משותף מרגע הכניסה בשער מונע היווצרות מעמדות בין ילדים שיש להם לילדים שאין להם. כך מצטרפות שלוש מרואיינות שונות לאותו עיקרון: הסביבה והכללים, ולא הכרעותיה הרגעיות של הגננת, הם נושאי ההוגנות.</w:t>
      </w:r>
    </w:p>
    <w:p>
      <w:pPr>
        <w:bidi w:val="1"/>
        <w:spacing w:line="360" w:lineRule="auto"/>
        <w:jc w:val="both"/>
      </w:pPr>
      <w:r>
        <w:rPr>
          <w:rFonts w:ascii="David" w:hAnsi="David" w:cs="David"/>
          <w:noProof/>
          <w:color w:val="000000"/>
          <w:sz w:val="24"/>
          <w:szCs w:val="24"/>
          <w:rtl/>
        </w:rPr>
        <w:t>מחקרים מעידים על כך שהליך שקוף, עקבי וניתן לחיזוי נחווה כהוגן עוד בטרם נבחנה תוצאתו, וכי הצדק הפרוצדורלי הוא מרכיב מרכזי בחוויית ההוגנות של לומדים (Jiang et al., 2018).</w:t>
      </w:r>
    </w:p>
    <w:p>
      <w:pPr>
        <w:bidi w:val="1"/>
        <w:pStyle w:val="Heading3"/>
        <w:bidi w:val="1"/>
        <w:spacing w:line="360" w:lineRule="auto" w:after="120"/>
        <w:jc w:val="right"/>
      </w:pPr>
      <w:r>
        <w:rPr>
          <w:rFonts w:ascii="David" w:hAnsi="David" w:cs="David"/>
          <w:b/>
          <w:i w:val="0"/>
          <w:noProof/>
          <w:color w:val="000000"/>
          <w:sz w:val="24"/>
          <w:szCs w:val="24"/>
          <w:rtl w:val="1"/>
        </w:rPr>
        <w:t>5.4.2 הכלל הגלוי והשתתפות הילדים</w:t>
      </w:r>
    </w:p>
    <w:p>
      <w:pPr>
        <w:bidi w:val="1"/>
        <w:spacing w:line="360" w:lineRule="auto" w:after="120"/>
        <w:jc w:val="both"/>
      </w:pPr>
      <w:r>
        <w:rPr>
          <w:rFonts w:ascii="David" w:hAnsi="David" w:cs="David"/>
          <w:noProof/>
          <w:color w:val="000000"/>
          <w:sz w:val="24"/>
          <w:szCs w:val="24"/>
          <w:rtl/>
        </w:rPr>
        <w:t>שתיים מתוך שש המרואיינות הדגישו ממד נוסף: הוצאת ההכרעה מידי הגננת והעברתה אל כלל גלוי, מוסכם ובלתי תלוי באיש. כך תיארה זאת מרואיינת 3, הצעירה שבמרואיינות:</w:t>
      </w:r>
    </w:p>
    <w:p>
      <w:pPr>
        <w:bidi w:val="1"/>
        <w:spacing w:line="360" w:lineRule="auto" w:after="160"/>
        <w:ind w:right="600" w:left="600"/>
        <w:jc w:val="both"/>
      </w:pPr>
      <w:r>
        <w:rPr>
          <w:rFonts w:ascii="David" w:hAnsi="David" w:cs="David"/>
          <w:b w:val="0"/>
          <w:i/>
          <w:noProof/>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noProof/>
          <w:color w:val="000000"/>
          <w:sz w:val="24"/>
          <w:szCs w:val="24"/>
          <w:rtl/>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w:t>
      </w:r>
    </w:p>
    <w:p>
      <w:pPr>
        <w:bidi w:val="1"/>
        <w:spacing w:line="360" w:lineRule="auto" w:after="120"/>
        <w:jc w:val="both"/>
      </w:pPr>
      <w:r>
        <w:rPr>
          <w:rFonts w:ascii="David" w:hAnsi="David" w:cs="David"/>
          <w:noProof/>
          <w:color w:val="000000"/>
          <w:sz w:val="24"/>
          <w:szCs w:val="24"/>
          <w:rtl w:val="1"/>
        </w:rPr>
        <w:t>ממד משלים של השתתפות עלה מדברי מרואיינת 5, שהדגישה כי תהליך החלוקה חשוב בעיניה לא פחות מתוצאתה:</w:t>
      </w:r>
    </w:p>
    <w:p>
      <w:pPr>
        <w:bidi w:val="1"/>
        <w:spacing w:line="360" w:lineRule="auto" w:after="160"/>
        <w:ind w:right="600" w:left="600"/>
        <w:jc w:val="both"/>
      </w:pPr>
      <w:r>
        <w:rPr>
          <w:rFonts w:ascii="David" w:hAnsi="David" w:cs="David"/>
          <w:i/>
          <w:noProof/>
          <w:color w:val="000000"/>
          <w:sz w:val="24"/>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(מרואיינת 5, ראיון מיום 4.3.2026, נספח 3)</w:t>
      </w:r>
    </w:p>
    <w:p>
      <w:pPr>
        <w:bidi w:val="1"/>
        <w:spacing w:line="360" w:lineRule="auto" w:after="120"/>
        <w:jc w:val="both"/>
      </w:pPr>
      <w:r>
        <w:rPr>
          <w:rFonts w:ascii="David" w:hAnsi="David" w:cs="David"/>
          <w:noProof/>
          <w:color w:val="000000"/>
          <w:sz w:val="24"/>
          <w:szCs w:val="24"/>
          <w:rtl w:val="1"/>
        </w:rPr>
        <w:t>בהימנעותה מהכרעה מהירה ובהזמנת הילדים למצוא פתרון בעצמם, הופכת המרואיינת כל מריבה על משאב להזדמנות לתרגול של הוגנות, ומרחיבה את עקרון ההשתתפות מעבר לכללים אל תהליך יישוב הסכסוך עצמו. שלוש המרואיינות בקטגוריה זו מבטאות אפוא רצף אחד: מן הכלל השקוף, דרך הכלל הגלוי, ועד למסירת תהליך ההכרעה כולו לידי הילדים.</w:t>
      </w:r>
    </w:p>
    <w:p>
      <w:pPr>
        <w:bidi w:val="1"/>
        <w:spacing w:line="360" w:lineRule="auto"/>
        <w:jc w:val="both"/>
      </w:pPr>
      <w:r>
        <w:rPr>
          <w:rFonts w:ascii="David" w:hAnsi="David" w:cs="David"/>
          <w:noProof/>
          <w:color w:val="000000"/>
          <w:sz w:val="24"/>
          <w:szCs w:val="24"/>
          <w:rtl/>
        </w:rPr>
        <w:t>מחקרים מעידים על כך שעקרונות צדק שונים מתקיימים זה לצד זה בפרקטיקה חינוכית אחת, כלל שקוף לצד חריגה מנומקת לפי צורך (Deutsch, 1985; Jiang et al., 2018), וכי ילדים בגיל הרך מסוגלים לפעול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noProof/>
          <w:color w:val="000000"/>
          <w:sz w:val="24"/>
          <w:szCs w:val="24"/>
          <w:rtl w:val="1"/>
        </w:rPr>
        <w:t>5.4.3 איזון המרחב הקבוצתי והתמודדות עם הדרה</w:t>
      </w:r>
    </w:p>
    <w:p>
      <w:pPr>
        <w:bidi w:val="1"/>
        <w:spacing w:line="360" w:lineRule="auto" w:after="120"/>
        <w:jc w:val="both"/>
      </w:pPr>
      <w:r>
        <w:rPr>
          <w:rFonts w:ascii="David" w:hAnsi="David" w:cs="David"/>
          <w:noProof/>
          <w:color w:val="000000"/>
          <w:sz w:val="24"/>
          <w:szCs w:val="24"/>
          <w:rtl/>
        </w:rPr>
        <w:t>שש מתוך שש המרואיינות התייחסו לילד ה"לוקח" מקום רב במרחב הקבוצתי, שנתפס בעיניהן כמשאב שיש לחלקו בהוגנות. עמדתן המשותפת הייתה שאין לדכא את הילד הדומיננטי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noProof/>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noProof/>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noProof/>
          <w:color w:val="000000"/>
          <w:sz w:val="24"/>
          <w:szCs w:val="24"/>
          <w:rtl/>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בדאגה שקטה לבגדים ולתנאים, והן במעמד החברתי.</w:t>
      </w:r>
    </w:p>
    <w:p>
      <w:pPr>
        <w:bidi w:val="1"/>
        <w:spacing w:line="360" w:lineRule="auto" w:after="120"/>
        <w:jc w:val="both"/>
      </w:pPr>
      <w:r>
        <w:rPr>
          <w:rFonts w:ascii="David" w:hAnsi="David" w:cs="David"/>
          <w:noProof/>
          <w:color w:val="000000"/>
          <w:sz w:val="24"/>
          <w:szCs w:val="24"/>
          <w:rtl w:val="1"/>
        </w:rPr>
        <w:t>מרואיינת 4 הוסיפה לתמונה ממד מבני, ותיארה כיצד גם מרחב שנראה פתוח לכולם עלול בפועל לשרת את החזקים:</w:t>
      </w:r>
    </w:p>
    <w:p>
      <w:pPr>
        <w:bidi w:val="1"/>
        <w:spacing w:line="360" w:lineRule="auto" w:after="160"/>
        <w:ind w:right="600" w:left="600"/>
        <w:jc w:val="both"/>
      </w:pPr>
      <w:r>
        <w:rPr>
          <w:rFonts w:ascii="David" w:hAnsi="David" w:cs="David"/>
          <w:i/>
          <w:noProof/>
          <w:color w:val="000000"/>
          <w:sz w:val="24"/>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(מרואיינת 4, ראיון מיום 25.2.2026, נספח 3)</w:t>
      </w:r>
    </w:p>
    <w:p>
      <w:pPr>
        <w:bidi w:val="1"/>
        <w:spacing w:line="360" w:lineRule="auto" w:after="120"/>
        <w:jc w:val="both"/>
      </w:pPr>
      <w:r>
        <w:rPr>
          <w:rFonts w:ascii="David" w:hAnsi="David" w:cs="David"/>
          <w:noProof/>
          <w:color w:val="000000"/>
          <w:sz w:val="24"/>
          <w:szCs w:val="24"/>
          <w:rtl w:val="1"/>
        </w:rPr>
        <w:t>התובנה שהפתיחות לבדה אינה מספיקה, משום שבשטח היא נוטה לשרת את הדומיננטיים, משלימה את העיסוק באיזון המרחב: לצד העצמת השקטים נדרשת גם התערבות מבנית, דוגמת רוטציה יזומה, המבטיחה שכל ילד יזכה בגישה למשאבים המבוקשים. בסך הכול התייחסו לקטגוריית המרחב וההדרה כל שש המרואיינות, ועמדתן המשותפת היא שהמרחב אינו מתחלק בהוגנות מעצמו, אלא דורש עיצוב מכוון.</w:t>
      </w:r>
    </w:p>
    <w:p>
      <w:pPr>
        <w:bidi w:val="1"/>
        <w:spacing w:line="360" w:lineRule="auto"/>
        <w:jc w:val="both"/>
      </w:pPr>
      <w:r>
        <w:rPr>
          <w:rFonts w:ascii="David" w:hAnsi="David" w:cs="David"/>
          <w:noProof/>
          <w:color w:val="000000"/>
          <w:sz w:val="24"/>
          <w:szCs w:val="24"/>
          <w:rtl/>
        </w:rPr>
        <w:t>מחקרים מעידים על כך שעבודת הגננת בגיל הרך משלבת את ממדי ההכלה, ההוגנות והצדק החברתי לכדי מכלול אחד של כשירויות מקצועיות, הנדרשות בדיוק להתערבויות מן הסוג שתיארו המרואיינות (Lang et al., 2024).</w:t>
      </w:r>
    </w:p>
    <w:p>
      <w:pPr>
        <w:bidi w:val="1"/>
        <w:pStyle w:val="Heading2"/>
        <w:bidi w:val="1"/>
        <w:spacing w:line="360" w:lineRule="auto" w:after="120"/>
        <w:jc w:val="right"/>
      </w:pPr>
      <w:r>
        <w:rPr>
          <w:rFonts w:ascii="David" w:hAnsi="David" w:cs="David"/>
          <w:b/>
          <w:i w:val="0"/>
          <w:noProof/>
          <w:color w:val="000000"/>
          <w:sz w:val="24"/>
          <w:szCs w:val="24"/>
          <w:rtl w:val="1"/>
        </w:rPr>
        <w:t>5.5 צדק חברתי-כלכלי ומניעת בושה</w:t>
      </w:r>
    </w:p>
    <w:p>
      <w:pPr>
        <w:bidi w:val="1"/>
        <w:spacing w:line="360" w:lineRule="auto" w:after="120"/>
        <w:jc w:val="both"/>
      </w:pPr>
      <w:r>
        <w:rPr>
          <w:rFonts w:ascii="David" w:hAnsi="David" w:cs="David"/>
          <w:b w:val="0"/>
          <w:i w:val="0"/>
          <w:noProof/>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noProof/>
          <w:color w:val="000000"/>
          <w:sz w:val="24"/>
          <w:szCs w:val="24"/>
          <w:rtl w:val="1"/>
        </w:rPr>
        <w:t>5.5.1 מניעת בושה כערך מארגן</w:t>
      </w:r>
    </w:p>
    <w:p>
      <w:pPr>
        <w:bidi w:val="1"/>
        <w:spacing w:line="360" w:lineRule="auto" w:after="120"/>
        <w:jc w:val="both"/>
      </w:pPr>
      <w:r>
        <w:rPr>
          <w:rFonts w:ascii="David" w:hAnsi="David" w:cs="David"/>
          <w:noProof/>
          <w:color w:val="000000"/>
          <w:sz w:val="24"/>
          <w:szCs w:val="24"/>
          <w:rtl/>
        </w:rPr>
        <w:t>חמש מתוך שש המרואיינות תיארו עיצוב מוקדם של כללי הגן כך שפערים כלכליים לא יקבלו במה, ובמרכזו מניעת הבושה כערך מארגן. מרואיינת 2 תיארה כלל שקבעה בעקבות מקרה שחוותה:</w:t>
      </w:r>
    </w:p>
    <w:p>
      <w:pPr>
        <w:bidi w:val="1"/>
        <w:spacing w:line="360" w:lineRule="auto" w:after="160"/>
        <w:ind w:right="600" w:left="600"/>
        <w:jc w:val="both"/>
      </w:pPr>
      <w:r>
        <w:rPr>
          <w:rFonts w:ascii="David" w:hAnsi="David" w:cs="David"/>
          <w:b w:val="0"/>
          <w:i/>
          <w:noProof/>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noProof/>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noProof/>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noProof/>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spacing w:line="360" w:lineRule="auto" w:after="120"/>
        <w:jc w:val="both"/>
      </w:pPr>
      <w:r>
        <w:rPr>
          <w:rFonts w:ascii="David" w:hAnsi="David" w:cs="David"/>
          <w:noProof/>
          <w:color w:val="000000"/>
          <w:sz w:val="24"/>
          <w:szCs w:val="24"/>
          <w:rtl w:val="1"/>
        </w:rPr>
        <w:t>רגישות דומה לחשיפת פערים עלתה גם אצל מרואיינות נוספות. מרואיינת 1 תיארה כיצד היא נמנעת משאלות תמימות לכאורה החושפות פערים:</w:t>
      </w:r>
    </w:p>
    <w:p>
      <w:pPr>
        <w:bidi w:val="1"/>
        <w:spacing w:line="360" w:lineRule="auto" w:after="160"/>
        <w:ind w:right="600" w:left="600"/>
        <w:jc w:val="both"/>
      </w:pPr>
      <w:r>
        <w:rPr>
          <w:rFonts w:ascii="David" w:hAnsi="David" w:cs="David"/>
          <w:i/>
          <w:noProof/>
          <w:color w:val="000000"/>
          <w:sz w:val="24"/>
          <w:szCs w:val="24"/>
          <w:rtl w:val="1"/>
        </w:rPr>
        <w:t>"יש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(מרואיינת 1, ראיון מיום 4.2.2026, נספח 3)</w:t>
      </w:r>
    </w:p>
    <w:p>
      <w:pPr>
        <w:bidi w:val="1"/>
        <w:spacing w:line="360" w:lineRule="auto" w:after="120"/>
        <w:jc w:val="both"/>
      </w:pPr>
      <w:r>
        <w:rPr>
          <w:rFonts w:ascii="David" w:hAnsi="David" w:cs="David"/>
          <w:noProof/>
          <w:color w:val="000000"/>
          <w:sz w:val="24"/>
          <w:szCs w:val="24"/>
          <w:rtl w:val="1"/>
        </w:rPr>
        <w:t>מרואיינת 3 תיארה נוהג דומה, שלפיו היא נמנעת מלפתוח את השבוע בשאלה מה עשיתם בסוף השבוע, ובוחנת מראש כל פעילות מתוכננת בשאלה האם היא מניחה משאבים שאינם מצויים בכל בית. הצטרפות קולות אלה מלמדת כי מניעת הבושה אינה מדיניות של גננת בודדת, אלא עיקרון פעולה החוזר אצל חמש מתוך שש המרואיינות, החל בעיצוב הכללים וכלה בניסוח השאלות היומיומיות.</w:t>
      </w:r>
    </w:p>
    <w:p>
      <w:pPr>
        <w:bidi w:val="1"/>
        <w:spacing w:line="360" w:lineRule="auto"/>
        <w:jc w:val="both"/>
      </w:pPr>
      <w:r>
        <w:rPr>
          <w:rFonts w:ascii="David" w:hAnsi="David" w:cs="David"/>
          <w:noProof/>
          <w:color w:val="000000"/>
          <w:sz w:val="24"/>
          <w:szCs w:val="24"/>
          <w:rtl/>
        </w:rPr>
        <w:t>מחקרים ומסמכי מדיניות מעידים על כך שהשמירה על כבוד הילד ומניעת השפלה ופגיעה הן חובות יסוד בהתנהלות החינוכית בגן (משרד החינוך, 2010; מכללת סמינר הקיבוצים, 2018). ממצאי המחקר מוסיפים לכך ממד יזום: הגננות אינן מסתפקות בתגובה לפגיעה לאחר שאירעה, אלא מעצבות מראש את הכללים ואת הפעילויות כך שהבושה לא תיווצר כלל.</w:t>
      </w:r>
    </w:p>
    <w:p>
      <w:pPr>
        <w:bidi w:val="1"/>
        <w:pStyle w:val="Heading3"/>
        <w:bidi w:val="1"/>
        <w:spacing w:line="360" w:lineRule="auto" w:after="120"/>
        <w:jc w:val="right"/>
      </w:pPr>
      <w:r>
        <w:rPr>
          <w:rFonts w:ascii="David" w:hAnsi="David" w:cs="David"/>
          <w:b/>
          <w:i w:val="0"/>
          <w:noProof/>
          <w:color w:val="000000"/>
          <w:sz w:val="24"/>
          <w:szCs w:val="24"/>
          <w:rtl w:val="1"/>
        </w:rPr>
        <w:t>5.5.2 הגן כמרחב מתקן</w:t>
      </w:r>
    </w:p>
    <w:p>
      <w:pPr>
        <w:bidi w:val="1"/>
        <w:spacing w:line="360" w:lineRule="auto" w:after="120"/>
        <w:jc w:val="both"/>
      </w:pPr>
      <w:r>
        <w:rPr>
          <w:rFonts w:ascii="David" w:hAnsi="David" w:cs="David"/>
          <w:noProof/>
          <w:color w:val="000000"/>
          <w:sz w:val="24"/>
          <w:szCs w:val="24"/>
          <w:rtl/>
        </w:rPr>
        <w:t>שלוש מתוך שש המרואיינות תיארו, מעבר למניעת הבושה,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noProof/>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noProof/>
          <w:color w:val="000000"/>
          <w:sz w:val="24"/>
          <w:szCs w:val="24"/>
          <w:rtl/>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ברוח זו תיארה גם מרואיינת 5 כיצד היא הופכת את השונות שבין הילדים ממקור אפשרי למבוכה למקור של עושר, מזמינה ילדים לספר בגאווה על מנהגי משפחתם, ומנטרלת מיד כל אמירה פוגענית סביב מה שיש ומה שאין.</w:t>
      </w:r>
    </w:p>
    <w:p>
      <w:pPr>
        <w:bidi w:val="1"/>
        <w:spacing w:line="360" w:lineRule="auto"/>
        <w:jc w:val="both"/>
      </w:pPr>
      <w:r>
        <w:rPr>
          <w:rFonts w:ascii="David" w:hAnsi="David" w:cs="David"/>
          <w:noProof/>
          <w:color w:val="000000"/>
          <w:sz w:val="24"/>
          <w:szCs w:val="24"/>
          <w:rtl/>
        </w:rPr>
        <w:t>מחקרים מעידים על כך ששוויון הזדמנויות מהותי מחייב הקצאה מוגברת של משאבים למי שנקודת הפתיחה שלו נמוכה, כדי לקרבו לנקודת פתיחה שווה (דהאן, 2010; אדלר ובלס, 2009), וכי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noProof/>
          <w:color w:val="000000"/>
          <w:sz w:val="24"/>
          <w:szCs w:val="24"/>
          <w:rtl w:val="1"/>
        </w:rPr>
        <w:t>5.6 הגננת כסוכנת צדק וכמחנכת ערכים</w:t>
      </w:r>
    </w:p>
    <w:p>
      <w:pPr>
        <w:bidi w:val="1"/>
        <w:spacing w:line="360" w:lineRule="auto" w:after="120"/>
        <w:jc w:val="both"/>
      </w:pPr>
      <w:r>
        <w:rPr>
          <w:rFonts w:ascii="David" w:hAnsi="David" w:cs="David"/>
          <w:b w:val="0"/>
          <w:i w:val="0"/>
          <w:noProof/>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noProof/>
          <w:color w:val="000000"/>
          <w:sz w:val="24"/>
          <w:szCs w:val="24"/>
          <w:rtl w:val="1"/>
        </w:rPr>
        <w:t>5.6.1 דוגמה אישית כדרך המלך לחינוך לצדק</w:t>
      </w:r>
    </w:p>
    <w:p>
      <w:pPr>
        <w:bidi w:val="1"/>
        <w:spacing w:line="360" w:lineRule="auto" w:after="120"/>
        <w:jc w:val="both"/>
      </w:pPr>
      <w:r>
        <w:rPr>
          <w:rFonts w:ascii="David" w:hAnsi="David" w:cs="David"/>
          <w:noProof/>
          <w:color w:val="000000"/>
          <w:sz w:val="24"/>
          <w:szCs w:val="24"/>
          <w:rtl/>
        </w:rPr>
        <w:t>חמש מתוך שש המרואיינות הביעו את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noProof/>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noProof/>
          <w:color w:val="000000"/>
          <w:sz w:val="24"/>
          <w:szCs w:val="24"/>
          <w:rtl/>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w:t>
      </w:r>
    </w:p>
    <w:p>
      <w:pPr>
        <w:bidi w:val="1"/>
        <w:spacing w:line="360" w:lineRule="auto"/>
        <w:jc w:val="both"/>
      </w:pPr>
      <w:r>
        <w:rPr>
          <w:rFonts w:ascii="David" w:hAnsi="David" w:cs="David"/>
          <w:noProof/>
          <w:color w:val="000000"/>
          <w:sz w:val="24"/>
          <w:szCs w:val="24"/>
          <w:rtl/>
        </w:rPr>
        <w:t>מחקרים מעידים על כך שהגננת פועלת כדמות מוסרית מעצבת וכסוכנת חיברות ראשונה, וכי דוגמתה האישית היא ערוץ מרכזי שבו נרכשים ערכים בגיל הרך (Solehuddin &amp; Adriany, 2017).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noProof/>
          <w:color w:val="000000"/>
          <w:sz w:val="24"/>
          <w:szCs w:val="24"/>
          <w:rtl w:val="1"/>
        </w:rPr>
        <w:t>5.6.2 שליחות, ותק והשונות בין הגננות</w:t>
      </w:r>
    </w:p>
    <w:p>
      <w:pPr>
        <w:bidi w:val="1"/>
        <w:spacing w:line="360" w:lineRule="auto" w:after="120"/>
        <w:jc w:val="both"/>
      </w:pPr>
      <w:r>
        <w:rPr>
          <w:rFonts w:ascii="David" w:hAnsi="David" w:cs="David"/>
          <w:noProof/>
          <w:color w:val="000000"/>
          <w:sz w:val="24"/>
          <w:szCs w:val="24"/>
          <w:rtl/>
        </w:rPr>
        <w:t>כל שש המרואיינות הסכימו כי קידום הצדק הוא חלק מתפקידן, אולם ניכרו הבדלים באופן שבו הן ממשיגות אותו. מרואיינת 6 תיארה את קידום הצדק כייעוד חיים:</w:t>
      </w:r>
    </w:p>
    <w:p>
      <w:pPr>
        <w:bidi w:val="1"/>
        <w:spacing w:line="360" w:lineRule="auto" w:after="160"/>
        <w:ind w:right="600" w:left="600"/>
        <w:jc w:val="both"/>
      </w:pPr>
      <w:r>
        <w:rPr>
          <w:rFonts w:ascii="David" w:hAnsi="David" w:cs="David"/>
          <w:b w:val="0"/>
          <w:i/>
          <w:noProof/>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noProof/>
          <w:color w:val="000000"/>
          <w:sz w:val="24"/>
          <w:szCs w:val="24"/>
          <w:rtl/>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מלמדת כי הבסיס הערכי קודם לשפה המקצועית, אך אינו תלוי בה.</w:t>
      </w:r>
    </w:p>
    <w:p>
      <w:pPr>
        <w:bidi w:val="1"/>
        <w:spacing w:line="360" w:lineRule="auto" w:after="120"/>
        <w:jc w:val="both"/>
      </w:pPr>
      <w:r>
        <w:rPr>
          <w:rFonts w:ascii="David" w:hAnsi="David" w:cs="David"/>
          <w:noProof/>
          <w:color w:val="000000"/>
          <w:sz w:val="24"/>
          <w:szCs w:val="24"/>
          <w:rtl w:val="1"/>
        </w:rPr>
        <w:t>עומק נוסף לתחושת השליחות העניקה מרואיינת 4, שקשרה אותה במפורש לסיפור חייה:</w:t>
      </w:r>
    </w:p>
    <w:p>
      <w:pPr>
        <w:bidi w:val="1"/>
        <w:spacing w:line="360" w:lineRule="auto" w:after="160"/>
        <w:ind w:right="600" w:left="600"/>
        <w:jc w:val="both"/>
      </w:pPr>
      <w:r>
        <w:rPr>
          <w:rFonts w:ascii="David" w:hAnsi="David" w:cs="David"/>
          <w:i/>
          <w:noProof/>
          <w:color w:val="000000"/>
          <w:sz w:val="24"/>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(מרואיינת 4, ראיון מיום 25.2.2026, נספח 3)</w:t>
      </w:r>
    </w:p>
    <w:p>
      <w:pPr>
        <w:bidi w:val="1"/>
        <w:spacing w:line="360" w:lineRule="auto" w:after="120"/>
        <w:jc w:val="both"/>
      </w:pPr>
      <w:r>
        <w:rPr>
          <w:rFonts w:ascii="David" w:hAnsi="David" w:cs="David"/>
          <w:noProof/>
          <w:color w:val="000000"/>
          <w:sz w:val="24"/>
          <w:szCs w:val="24"/>
          <w:rtl w:val="1"/>
        </w:rPr>
        <w:t>אצל מרואיינת זו הופכת הביוגרפיה האישית למקור מחויבות מקצועית: הילדה שחוותה מחסור נעשתה גננת שתפקידה לוודא שאף ילד לא יחווה אותו. בכך מצטרפת קטגוריה זו לממצא הכולל: כל שש המרואיינות רואות בקידום ערכי הצדק חלק מהותי מתפקידן, אם כי מקורות המחויבות שלהן שונים, ביוגרפיים, רגשיים, ערכיים או מקצועיים.</w:t>
      </w:r>
    </w:p>
    <w:p>
      <w:pPr>
        <w:bidi w:val="1"/>
        <w:spacing w:line="360" w:lineRule="auto"/>
        <w:jc w:val="both"/>
      </w:pPr>
      <w:r>
        <w:rPr>
          <w:rFonts w:ascii="David" w:hAnsi="David" w:cs="David"/>
          <w:noProof/>
          <w:color w:val="000000"/>
          <w:sz w:val="24"/>
          <w:szCs w:val="24"/>
          <w:rtl/>
        </w:rPr>
        <w:t>מחקרים מעידים על כך שקיימת שונות רבה בין גננות במודעות ובכלים לעיסוק בצדק ובהוגנות (Lang et al., 2024; Ryan &amp; Grieshaber, 2024), ושונות דומה תועדה גם באמונות פדגוגיות רחבות יותר, שנמצאו מושפעות בין היתר ממאפייני אוכלוסיית הגן ומניסיונה של הגננת (סברדלוב ואחרים, 2017).</w:t>
      </w:r>
    </w:p>
    <w:p>
      <w:pPr>
        <w:bidi w:val="1"/>
        <w:pStyle w:val="Heading2"/>
        <w:bidi w:val="1"/>
        <w:spacing w:line="360" w:lineRule="auto" w:after="120"/>
        <w:jc w:val="right"/>
      </w:pPr>
      <w:r>
        <w:rPr>
          <w:rFonts w:ascii="David" w:hAnsi="David" w:cs="David"/>
          <w:b/>
          <w:noProof/>
          <w:color w:val="000000"/>
          <w:sz w:val="24"/>
          <w:szCs w:val="24"/>
          <w:rtl w:val="1"/>
        </w:rPr>
        <w:t>5.7 צדק ביחסי גננת-הורים</w:t>
      </w:r>
    </w:p>
    <w:p>
      <w:pPr>
        <w:bidi w:val="1"/>
        <w:spacing w:line="360" w:lineRule="auto" w:after="120"/>
        <w:jc w:val="both"/>
      </w:pPr>
      <w:r>
        <w:rPr>
          <w:rFonts w:ascii="David" w:hAnsi="David" w:cs="David"/>
          <w:noProof/>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noProof/>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noProof/>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noProof/>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noProof/>
          <w:color w:val="000000"/>
          <w:sz w:val="24"/>
          <w:szCs w:val="24"/>
          <w:rtl/>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w:t>
      </w:r>
    </w:p>
    <w:p>
      <w:pPr>
        <w:bidi w:val="1"/>
        <w:spacing w:line="360" w:lineRule="auto" w:after="120"/>
        <w:jc w:val="both"/>
      </w:pPr>
      <w:r>
        <w:rPr>
          <w:rFonts w:ascii="David" w:hAnsi="David" w:cs="David"/>
          <w:noProof/>
          <w:color w:val="000000"/>
          <w:sz w:val="24"/>
          <w:szCs w:val="24"/>
          <w:rtl w:val="1"/>
        </w:rPr>
        <w:t>גם יתר המרואיינות התייחסו לזירת ההורים, כל אחת בכליה. מרואיינת 2 הדגישה את השקיפות המוקדמת ככלי מונע:</w:t>
      </w:r>
    </w:p>
    <w:p>
      <w:pPr>
        <w:bidi w:val="1"/>
        <w:spacing w:line="360" w:lineRule="auto" w:after="160"/>
        <w:ind w:right="600" w:left="600"/>
        <w:jc w:val="both"/>
      </w:pPr>
      <w:r>
        <w:rPr>
          <w:rFonts w:ascii="David" w:hAnsi="David" w:cs="David"/>
          <w:i/>
          <w:noProof/>
          <w:color w:val="000000"/>
          <w:sz w:val="24"/>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(מרואיינת 2, ראיון מיום 11.2.2026, נספח 3)</w:t>
      </w:r>
    </w:p>
    <w:p>
      <w:pPr>
        <w:bidi w:val="1"/>
        <w:spacing w:line="360" w:lineRule="auto" w:after="120"/>
        <w:jc w:val="both"/>
      </w:pPr>
      <w:r>
        <w:rPr>
          <w:rFonts w:ascii="David" w:hAnsi="David" w:cs="David"/>
          <w:noProof/>
          <w:color w:val="000000"/>
          <w:sz w:val="24"/>
          <w:szCs w:val="24"/>
          <w:rtl w:val="1"/>
        </w:rPr>
        <w:t>מרואיינת 5 תיארה כיצד היא מיישמת מול ההורים את אותה תקשורת מקרבת שהיא מלמדת בגן, ומקשיבה לדאגת ההורה לפני שהיא מסבירה את עמדתה; מרואיינת 3, הצעירה שבמרואיינות, תיארה בניית אמון הדרגתית מול הורים המבוגרים ממנה; ומרואיינת 4 הדגישה את הכללים האחידים, דוגמת כללי ימי ההולדת, ככלי המגן על ההוגנות עוד לפני שנוצר לחץ. נמצא אפוא כי כל שש המרואיינות פועלות בזירת ההורים באותה רוח שבה הן פועלות מול הילדים: שקיפות מוקדמת, הקשבה, ועמידה עקבית על העיקרון.</w:t>
      </w:r>
    </w:p>
    <w:p>
      <w:pPr>
        <w:bidi w:val="1"/>
        <w:spacing w:line="360" w:lineRule="auto"/>
        <w:jc w:val="both"/>
      </w:pPr>
      <w:r>
        <w:rPr>
          <w:rFonts w:ascii="David" w:hAnsi="David" w:cs="David"/>
          <w:noProof/>
          <w:color w:val="000000"/>
          <w:sz w:val="24"/>
          <w:szCs w:val="24"/>
          <w:rtl/>
        </w:rPr>
        <w:t>מחקרים מעידים על כך שיחסי גננות והורים הם יחסים אמביוולנטיים, המשלבים הערכה ותמיכה עם תלונות ולחצים (אדרי, 2021), וכי תקשורת פתוחה ואמון הם הגורמים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noProof/>
          <w:color w:val="000000"/>
          <w:sz w:val="24"/>
          <w:szCs w:val="24"/>
          <w:rtl w:val="1"/>
        </w:rPr>
        <w:t>5.8 סיכום פרק הממצאים</w:t>
      </w:r>
    </w:p>
    <w:p>
      <w:pPr>
        <w:bidi w:val="1"/>
        <w:spacing w:line="360" w:lineRule="auto" w:after="120"/>
        <w:jc w:val="both"/>
      </w:pPr>
      <w:r>
        <w:rPr>
          <w:rFonts w:ascii="David" w:hAnsi="David" w:cs="David"/>
          <w:b w:val="0"/>
          <w:i w:val="0"/>
          <w:noProof/>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noProof/>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r>
        <w:rPr>
          <w:rFonts w:ascii="David" w:hAnsi="David" w:cs="David"/>
          <w:noProof/>
          <w:color w:val="000000"/>
          <w:sz w:val="24"/>
          <w:szCs w:val="24"/>
          <w:rtl w:val="1"/>
        </w:rPr>
        <w:t xml:space="preserve"> יודגש כי בכל אחת מן הקטגוריות הובאו קולותיהן של רוב המרואיינות, ובחלקן של כולן, והעקביות הרבה בין הקולות, לצד הגיוון בדגשים האישיים, מחזקת את מהימנות הממצאים.</w:t>
      </w:r>
    </w:p>
    <w:p>
      <w:pPr>
        <w:pageBreakBefore/>
        <w:bidi w:val="1"/>
        <w:pStyle w:val="Heading1"/>
        <w:bidi w:val="1"/>
        <w:spacing w:line="360" w:lineRule="auto" w:before="280" w:after="160"/>
        <w:jc w:val="both"/>
      </w:pPr>
      <w:r>
        <w:rPr>
          <w:rFonts w:ascii="David" w:hAnsi="David" w:cs="David"/>
          <w:b/>
          <w:noProof/>
          <w:color w:val="000000"/>
          <w:sz w:val="30"/>
          <w:szCs w:val="30"/>
          <w:rtl w:val="1"/>
          <w:rtl w:val="1"/>
        </w:rPr>
        <w:t>6. דיון</w:t>
      </w:r>
    </w:p>
    <w:p>
      <w:pPr>
        <w:bidi w:val="1"/>
        <w:spacing w:line="360" w:lineRule="auto" w:after="120"/>
        <w:jc w:val="both"/>
      </w:pPr>
      <w:r>
        <w:rPr>
          <w:rFonts w:ascii="David" w:hAnsi="David" w:cs="David"/>
          <w:noProof/>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בעבודתן היומיומית. לשם כך נערכו ראיונות עומק חצי-מובנים עם שש גננות בעלות ותק, רקע ואוכלוסיית גן מגוונים, והנתונים נותחו על-פי עקרונות התיאוריה המעוגנת בשדה (גבתון, 2001; שקדי, 2003).</w:t>
      </w:r>
    </w:p>
    <w:p>
      <w:pPr>
        <w:bidi w:val="1"/>
        <w:spacing w:line="360" w:lineRule="auto" w:after="120"/>
        <w:jc w:val="both"/>
      </w:pPr>
      <w:r>
        <w:rPr>
          <w:rFonts w:ascii="David" w:hAnsi="David" w:cs="David"/>
          <w:noProof/>
          <w:color w:val="000000"/>
          <w:sz w:val="24"/>
          <w:szCs w:val="24"/>
          <w:rtl w:val="1"/>
        </w:rPr>
        <w:t>ניתוח הנתונים חשף שבע תמות מרכזיות,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הגננת כסוכנת צדק וכמחנכת ערכים.</w:t>
      </w:r>
    </w:p>
    <w:p>
      <w:pPr>
        <w:bidi w:val="1"/>
        <w:spacing w:line="360" w:lineRule="auto" w:after="120"/>
        <w:jc w:val="both"/>
      </w:pPr>
      <w:r>
        <w:rPr>
          <w:rFonts w:ascii="David" w:hAnsi="David" w:cs="David"/>
          <w:noProof/>
          <w:color w:val="000000"/>
          <w:sz w:val="24"/>
          <w:szCs w:val="24"/>
          <w:rtl w:val="1"/>
        </w:rPr>
        <w:t>במרכז התמות עומדת ההבחנה החדה שערכו כל שש המרואיינות בין חלוקה שווה לחלוקה הוגנת, והעדפתן הברורה את ההוגנות מבוססת-הצורך על פני השוויון המכני, ממצא התואם את עיקרון הצורך בגישה הרב-ממדית לצדק חלוקתי (Connell, 1993; סבג וביברמן-שלו, 2014). סביב ליבה זו התארגנו יתר הממצאים: חלוקת תשומת הלב נתפסה כפעולה מכוונת ושיטתית, הנדרשת להיאבק בעוול הסמוי של הילד השקט, באופן המחבר בין הצדק החלוקתי לצדק האינטראקציוני (Horan et al., 2010; Jiang et al., 2018); השקיפות והצפיות של כללי הגן נתפסו כמקור תחושת ההוגנות, ברוח הצדק הפרוצדורלי; הגן נתפס כמרחב מתקן, המצמצם פערים חברתיים-כלכליים ומונע בושה (אדלר ובלס, 2009; דהאן, 2010; Elenbaas &amp; Mistry, 2021); הוגנות הגננת נמצאה נבחנת גם מול ההורים, בהתאם לתיאור היחסים האמביוולנטיים בספרות (אדרי, 2021; לוי ואחרים, 2023); ולבסוף, הגננות תיארו את קידום ערכי השוויון והצדק כשליחות הנלמדת בדוגמה אישית, ברוח הקוד האתי בגן הילדים (מכללת סמינר הקיבוצים, 2018) ובהלימה לספרות על הגננת כסוכנת חיברות מוסרית (Solehuddin &amp; Adriany, 2017; Lee et al., 2022).</w:t>
      </w:r>
    </w:p>
    <w:p>
      <w:pPr>
        <w:bidi w:val="1"/>
        <w:spacing w:line="360" w:lineRule="auto" w:after="120"/>
        <w:jc w:val="both"/>
      </w:pPr>
      <w:r>
        <w:rPr>
          <w:rFonts w:ascii="David" w:hAnsi="David" w:cs="David"/>
          <w:noProof/>
          <w:color w:val="000000"/>
          <w:sz w:val="24"/>
          <w:szCs w:val="24"/>
          <w:rtl w:val="1"/>
        </w:rPr>
        <w:t>תמות אלה תורמות תרומה כפולה. מן ההיבט התיאורטי, המחקר מרחיב את הידע על תפיסות צדק אל הגיל הרך, זירה שכמעט לא נחקרה, וממחיש כי עקרונות הצדק החלוקתי מתקיימים בגן במלוא עוצמתם, אך סביב משאבים רכים ובלתי מדידים, תשומת לב, זמן ומרחב, ולא סביב ציונים, כפי שנחקר עד כה בבתי הספר (קרמרסקי ורש, 2004). מן ההיבט היישומי, המחקר חושף כי העשייה הצודקת של הגננות היא ברובה אינטואיטיבית וסמויה, וכי השפה המושגית והכלים לעסוק בה אינם נחלת הכול, ממצא המתיישב עם השונות שתועדה בספרות בין גננות (סברדלוב ואחרים, 2017; Lang et al., 2024; Ryan &amp; Grieshaber, 2024) ומצביע על הצורך בהמשגה מפורשת של הצדק החלוקתי בהכשרת גננות.</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7. סיכום</w:t>
      </w:r>
    </w:p>
    <w:p>
      <w:pPr>
        <w:bidi w:val="1"/>
        <w:spacing w:line="360" w:lineRule="auto" w:after="120"/>
        <w:jc w:val="both"/>
      </w:pPr>
      <w:r>
        <w:rPr>
          <w:rFonts w:ascii="David" w:hAnsi="David" w:cs="David"/>
          <w:noProof/>
          <w:color w:val="000000"/>
          <w:sz w:val="24"/>
          <w:szCs w:val="24"/>
          <w:rtl w:val="1"/>
        </w:rPr>
        <w:t>מן הממצאים והדיון עולות כמה הבנות מרכזיות. ראשית, תפיסת הצדק של הגננות היא במהותה תפיסה של הוגנות מבוססת-צורך ולא של שוויון מכני: הגננת אינה שואפת לתת לכל הילדים את אותו הדבר, אלא לתת לכל ילד את מה שהוא צריך כדי להגיע לאותה נקודה. שנית, הצדק בגן אינו מושג מופשט אלא נבנה מאינספור החלטות זעירות ויומיומיות, של קשב, של תור, של מקום ושל מילה, וכל אחת מהן היא הכרעה חלוקתית קטנה. שלישית, מאחר שהגננת היא סוכנת הצדק הראשונה של הילד מול החברה, לתפיסותיה ולפרקטיקות שלה השפעה מעצבת על חוויית הצדק והשייכות הראשונית שלו. ולבסוף, הבסיס הערכי קיים אצל כלל הגננות, אך השפה המושגית והכלים המקצועיים אינם תמיד זמינים להן, והעשייה הצודקת נותרת פעמים רבות אינטואיטיבית וסמויה.</w:t>
      </w:r>
    </w:p>
    <w:p>
      <w:pPr>
        <w:bidi w:val="1"/>
        <w:spacing w:line="360" w:lineRule="auto" w:after="120"/>
        <w:jc w:val="both"/>
      </w:pPr>
      <w:r>
        <w:rPr>
          <w:rFonts w:ascii="David" w:hAnsi="David" w:cs="David"/>
          <w:noProof/>
          <w:color w:val="000000"/>
          <w:sz w:val="24"/>
          <w:szCs w:val="24"/>
          <w:rtl w:val="1"/>
        </w:rPr>
        <w:t>להבנות אלה השלכות מעשיות למעגלים שונים. לגננות בשטח מוצע לאמץ כלים פשוטים לניטור מכוון של חלוקת הקשב, דוגמת רישום יומי של מגעים אישיים, כדי שהילד השקט לא ייעלם; למוסדות ההכשרה ולהשתלמויות מוצע לשלב התייחסות מפורשת להבחנה בין שווה להוגן ולחלוקת המשאבים הרכים, וללוות גננות מתחילות בגיבוש שפה מקצועית בתחום; למערכת החינוך מוצע להכיר בגן כמרחב מצמצם פערים ולתמוך בכך במשאבים ובגיבוי; ובקשר עם ההורים מוצע להקדים שקיפות: להציג את עקרון ההוגנות כבר בתחילת השנה, כדי לצמצם מתחים סביב דרישות ליחס מועדף.</w:t>
      </w:r>
    </w:p>
    <w:p>
      <w:pPr>
        <w:bidi w:val="1"/>
        <w:spacing w:line="360" w:lineRule="auto" w:after="120"/>
        <w:jc w:val="both"/>
      </w:pPr>
      <w:r>
        <w:rPr>
          <w:rFonts w:ascii="David" w:hAnsi="David" w:cs="David"/>
          <w:noProof/>
          <w:color w:val="000000"/>
          <w:sz w:val="24"/>
          <w:szCs w:val="24"/>
          <w:rtl w:val="1"/>
        </w:rPr>
        <w:t>לצד זאת יש לסייג: המחקר התבסס על מדגם קטן של שש גננות מאזור המרכז, נשי כולו וממגזר יהודי, והוא נשען על דיווח עצמי בראיונות, כך שייתכן פער בין התפיסות המוצהרות לבין הפרקטיקה בפועל (וראו הרחבה בסעיף 4.10). לפיכך, מוצע במחקר עתידי להרחיב את המדגם לאזורים ולמגזרים נוספים ולכלול גם גננים, לשלב תצפיות בשדה לצד ראיונות, לבחון את סוגיית הצדק בגן גם מנקודת מבטם של הילדים ושל ההורים, ולבדוק לאורך זמן את השפעתה של הכשרה ייעודית בנושא על הפרקטיקה.</w:t>
      </w:r>
    </w:p>
    <w:p>
      <w:pPr>
        <w:bidi w:val="1"/>
        <w:spacing w:line="360" w:lineRule="auto" w:after="120"/>
        <w:jc w:val="both"/>
      </w:pPr>
      <w:r>
        <w:rPr>
          <w:rFonts w:ascii="David" w:hAnsi="David" w:cs="David"/>
          <w:noProof/>
          <w:color w:val="000000"/>
          <w:sz w:val="24"/>
          <w:szCs w:val="24"/>
          <w:rtl w:val="1"/>
        </w:rPr>
        <w:t>בהערה אישית, העבודה על מחקר זה לימדה אותי שהשאלה "מה הוגן" אינה שאלה תיאורטית עבור הגננת, אלא שאלה שהיא משיבה עליה בפועל עשרות פעמים ביום, לרוב בלי מילים. ההאזנה לשש הגננות חידדה בי את ההכרה שמאחורי כל גן מתנהל מפעל שקט של צדק, וששווה לתת לו שם.</w:t>
      </w:r>
    </w:p>
    <w:p>
      <w:pPr>
        <w:pStyle w:val="Heading1"/>
        <w:pageBreakBefore/>
        <w:bidi w:val="1"/>
        <w:spacing w:line="360" w:lineRule="auto"/>
        <w:jc w:val="right"/>
      </w:pPr>
      <w:r>
        <w:rPr>
          <w:rFonts w:ascii="David" w:hAnsi="David" w:cs="David"/>
          <w:b/>
          <w:noProof/>
          <w:color w:val="000000"/>
          <w:sz w:val="24"/>
          <w:szCs w:val="24"/>
          <w:rtl w:val="1"/>
        </w:rPr>
        <w:t>8. רפלקציה</w:t>
      </w:r>
    </w:p>
    <w:p>
      <w:pPr>
        <w:bidi w:val="1"/>
        <w:spacing w:line="360" w:lineRule="auto"/>
        <w:ind/>
        <w:jc w:val="both"/>
      </w:pPr>
      <w:r>
        <w:rPr>
          <w:rFonts w:ascii="David" w:hAnsi="David" w:cs="David"/>
          <w:b w:val="0"/>
          <w:noProof/>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b w:val="0"/>
          <w:noProof/>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jc w:val="both"/>
      </w:pPr>
      <w:r>
        <w:rPr>
          <w:rFonts w:ascii="David" w:hAnsi="David" w:cs="David"/>
          <w:b w:val="0"/>
          <w:noProof/>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noProof/>
          <w:color w:val="000000"/>
          <w:sz w:val="24"/>
          <w:szCs w:val="24"/>
          <w:rtl w:val="1"/>
          <w:rtl w:val="1"/>
        </w:rPr>
        <w:t>9. רשימת המקורות</w:t>
      </w:r>
    </w:p>
    <w:p>
      <w:pPr>
        <w:bidi w:val="1"/>
        <w:spacing w:line="360" w:lineRule="auto" w:after="120"/>
        <w:ind w:left="480"/>
        <w:jc w:val="both"/>
      </w:pPr>
      <w:r>
        <w:rPr>
          <w:rFonts w:ascii="David" w:hAnsi="David" w:cs="David"/>
          <w:noProof/>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noProof/>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noProof/>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noProof/>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noProof/>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noProof/>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noProof/>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noProof/>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noProof/>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noProof/>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noProof/>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noProof/>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noProof/>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noProof/>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noProof/>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noProof/>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noProof/>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noProof/>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noProof/>
          <w:color w:val="000000"/>
          <w:sz w:val="24"/>
        </w:rPr>
        <w:t>Connell, R. W. (1993). Schools and social justice. Temple University Press.</w:t>
      </w:r>
    </w:p>
    <w:p>
      <w:pPr>
        <w:bidi w:val="1"/>
        <w:spacing w:line="360" w:lineRule="auto" w:after="120"/>
        <w:ind w:left="480"/>
        <w:jc w:val="both"/>
      </w:pPr>
      <w:r>
        <w:rPr>
          <w:rFonts w:ascii="David" w:hAnsi="David" w:cs="David"/>
          <w:noProof/>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noProof/>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noProof/>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noProof/>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noProof/>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noProof/>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noProof/>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noProof/>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noProof/>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noProof/>
          <w:color w:val="000000"/>
          <w:sz w:val="24"/>
        </w:rPr>
        <w:t>Rawls, J. (1971). A theory of justice. Harvard University Press.</w:t>
      </w:r>
    </w:p>
    <w:p>
      <w:pPr>
        <w:bidi w:val="1"/>
        <w:spacing w:line="360" w:lineRule="auto" w:after="120"/>
        <w:ind w:left="480"/>
        <w:jc w:val="both"/>
      </w:pPr>
      <w:r>
        <w:rPr>
          <w:rFonts w:ascii="David" w:hAnsi="David" w:cs="David"/>
          <w:noProof/>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noProof/>
          <w:color w:val="000000"/>
          <w:sz w:val="24"/>
        </w:rPr>
        <w:t>Solehuddin, M., &amp; Adriany, V. (2017). Kindergarten teachers’ understanding on social justice: Stories from Indonesia. SAGE Open, 7(4). https://doi.org/10.1177/2158244017739340</w:t>
      </w:r>
    </w:p>
    <w:p>
      <w:pPr>
        <w:jc w:val="both"/>
      </w:pPr>
      <w:r>
        <w:rPr>
          <w:noProof/>
          <w:color w:val="000000"/>
        </w:rPr>
        <w:br w:type="page"/>
      </w:r>
    </w:p>
    <w:p>
      <w:pPr>
        <w:bidi w:val="1"/>
        <w:pStyle w:val="Heading1"/>
        <w:bidi w:val="1"/>
        <w:spacing w:line="360" w:lineRule="auto" w:before="280" w:after="160"/>
        <w:jc w:val="both"/>
      </w:pPr>
      <w:r>
        <w:rPr>
          <w:rFonts w:ascii="David" w:hAnsi="David" w:cs="David"/>
          <w:b/>
          <w:noProof/>
          <w:color w:val="000000"/>
          <w:sz w:val="24"/>
          <w:szCs w:val="24"/>
          <w:rtl w:val="1"/>
          <w:rtl w:val="1"/>
        </w:rPr>
        <w:t>10. נספחים</w:t>
      </w:r>
    </w:p>
    <w:p>
      <w:pPr>
        <w:bidi w:val="1"/>
        <w:pStyle w:val="Heading2"/>
        <w:bidi w:val="1"/>
        <w:spacing w:line="360" w:lineRule="auto" w:before="280" w:after="160"/>
        <w:jc w:val="both"/>
      </w:pPr>
      <w:r>
        <w:rPr>
          <w:rFonts w:ascii="David" w:hAnsi="David" w:cs="David"/>
          <w:b/>
          <w:noProof/>
          <w:color w:val="000000"/>
          <w:sz w:val="26"/>
          <w:szCs w:val="26"/>
          <w:rtl w:val="1"/>
          <w:rtl w:val="1"/>
        </w:rPr>
        <w:t>נספח 1: מדריך הראיון החצי-מובנה</w:t>
      </w:r>
    </w:p>
    <w:p>
      <w:pPr>
        <w:bidi w:val="1"/>
        <w:spacing w:line="360" w:lineRule="auto" w:after="80"/>
        <w:jc w:val="both"/>
      </w:pPr>
      <w:r>
        <w:rPr>
          <w:rFonts w:ascii="David" w:hAnsi="David" w:cs="David"/>
          <w:noProof/>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noProof/>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noProof/>
          <w:color w:val="000000"/>
          <w:szCs w:val="24"/>
          <w:rtl w:val="1"/>
        </w:rPr>
        <w:t>3. איזה גיל וקבוצה את מלמדת היום, וכמה ילדים בגן?</w:t>
      </w:r>
    </w:p>
    <w:p>
      <w:pPr>
        <w:bidi w:val="1"/>
        <w:spacing w:line="360" w:lineRule="auto" w:after="80"/>
        <w:jc w:val="both"/>
      </w:pPr>
      <w:r>
        <w:rPr>
          <w:rFonts w:ascii="David" w:hAnsi="David" w:cs="David"/>
          <w:noProof/>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noProof/>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noProof/>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noProof/>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noProof/>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noProof/>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noProof/>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noProof/>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noProof/>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noProof/>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noProof/>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noProof/>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noProof/>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noProof/>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noProof/>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noProof/>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noProof/>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noProof/>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noProof/>
          <w:color w:val="000000"/>
          <w:szCs w:val="24"/>
          <w:rtl w:val="1"/>
        </w:rPr>
        <w:t>22. האם את מרגישה שתפקידך כגננת כולל קידום ערכים של שוויון וצדק חברתי? תארי לי כיצד.</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2: טבלאות ניתוח הראיונות – טבלה 1 (ארגון התשובות בקידוד צבעים) וטבלה 2 (מיפוי הקטגוריות)</w:t>
      </w:r>
    </w:p>
    <w:p>
      <w:pPr>
        <w:bidi w:val="1"/>
        <w:spacing w:line="360" w:lineRule="auto" w:before="0" w:after="120"/>
        <w:ind/>
        <w:jc w:val="both"/>
      </w:pPr>
      <w:r>
        <w:rPr>
          <w:rFonts w:ascii="David" w:hAnsi="David" w:cs="David"/>
          <w:b w:val="0"/>
          <w:noProof/>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noProof/>
          <w:color w:val="000000"/>
          <w:sz w:val="24"/>
          <w:szCs w:val="24"/>
          <w:rtl w:val="1"/>
        </w:rPr>
        <w:t>מקרא הצבעים:</w:t>
      </w:r>
    </w:p>
    <w:p>
      <w:pPr>
        <w:bidi w:val="1"/>
        <w:spacing w:line="288" w:lineRule="auto" w:after="40"/>
        <w:jc w:val="both"/>
      </w:pPr>
      <w:r>
        <w:rPr>
          <w:rFonts w:ascii="David" w:hAnsi="David" w:cs="David"/>
          <w:noProof/>
          <w:color w:val="000000"/>
          <w:szCs w:val="24"/>
          <w:highlight w:val="green"/>
          <w:rtl w:val="1"/>
        </w:rPr>
        <w:t xml:space="preserve">       </w:t>
      </w:r>
      <w:r>
        <w:rPr>
          <w:rFonts w:ascii="David" w:hAnsi="David" w:cs="David"/>
          <w:noProof/>
          <w:color w:val="000000"/>
          <w:szCs w:val="24"/>
          <w:rtl w:val="1"/>
        </w:rPr>
        <w:t xml:space="preserve">  ירוק – הוגנות ועיקרון הצורך (מה שהילד צריך)</w:t>
      </w:r>
    </w:p>
    <w:p>
      <w:pPr>
        <w:bidi w:val="1"/>
        <w:spacing w:line="288" w:lineRule="auto" w:after="40"/>
        <w:jc w:val="both"/>
      </w:pPr>
      <w:r>
        <w:rPr>
          <w:rFonts w:ascii="David" w:hAnsi="David" w:cs="David"/>
          <w:noProof/>
          <w:color w:val="000000"/>
          <w:szCs w:val="24"/>
          <w:highlight w:val="cyan"/>
          <w:rtl w:val="1"/>
        </w:rPr>
        <w:t xml:space="preserve">       </w:t>
      </w:r>
      <w:r>
        <w:rPr>
          <w:rFonts w:ascii="David" w:hAnsi="David" w:cs="David"/>
          <w:noProof/>
          <w:color w:val="000000"/>
          <w:szCs w:val="24"/>
          <w:rtl w:val="1"/>
        </w:rPr>
        <w:t xml:space="preserve">  טורקיז – שוויון ושוויון הזדמנויות</w:t>
      </w:r>
    </w:p>
    <w:p>
      <w:pPr>
        <w:bidi w:val="1"/>
        <w:spacing w:line="288" w:lineRule="auto" w:after="40"/>
        <w:jc w:val="both"/>
      </w:pPr>
      <w:r>
        <w:rPr>
          <w:rFonts w:ascii="David" w:hAnsi="David" w:cs="David"/>
          <w:noProof/>
          <w:color w:val="000000"/>
          <w:szCs w:val="24"/>
          <w:highlight w:val="yellow"/>
          <w:rtl w:val="1"/>
        </w:rPr>
        <w:t xml:space="preserve">       </w:t>
      </w:r>
      <w:r>
        <w:rPr>
          <w:rFonts w:ascii="David" w:hAnsi="David" w:cs="David"/>
          <w:noProof/>
          <w:color w:val="000000"/>
          <w:szCs w:val="24"/>
          <w:rtl w:val="1"/>
        </w:rPr>
        <w:t xml:space="preserve">  צהוב – חלוקת תשומת לב וקשב / הילד השקט</w:t>
      </w:r>
    </w:p>
    <w:p>
      <w:pPr>
        <w:bidi w:val="1"/>
        <w:spacing w:line="288" w:lineRule="auto" w:after="40"/>
        <w:jc w:val="both"/>
      </w:pPr>
      <w:r>
        <w:rPr>
          <w:rFonts w:ascii="David" w:hAnsi="David" w:cs="David"/>
          <w:noProof/>
          <w:color w:val="000000"/>
          <w:szCs w:val="24"/>
          <w:highlight w:val="magenta"/>
          <w:rtl w:val="1"/>
        </w:rPr>
        <w:t xml:space="preserve">       </w:t>
      </w:r>
      <w:r>
        <w:rPr>
          <w:rFonts w:ascii="David" w:hAnsi="David" w:cs="David"/>
          <w:noProof/>
          <w:color w:val="000000"/>
          <w:szCs w:val="24"/>
          <w:rtl w:val="1"/>
        </w:rPr>
        <w:t xml:space="preserve">  ורוד – מרחב, כללים, תור והדרה</w:t>
      </w:r>
    </w:p>
    <w:p>
      <w:pPr>
        <w:bidi w:val="1"/>
        <w:spacing w:line="288" w:lineRule="auto" w:after="40"/>
        <w:jc w:val="both"/>
      </w:pPr>
      <w:r>
        <w:rPr>
          <w:rFonts w:ascii="David" w:hAnsi="David" w:cs="David"/>
          <w:noProof/>
          <w:color w:val="000000"/>
          <w:szCs w:val="24"/>
          <w:highlight w:val="lightGray"/>
          <w:rtl w:val="1"/>
        </w:rPr>
        <w:t xml:space="preserve">       </w:t>
      </w:r>
      <w:r>
        <w:rPr>
          <w:rFonts w:ascii="David" w:hAnsi="David" w:cs="David"/>
          <w:noProof/>
          <w:color w:val="000000"/>
          <w:szCs w:val="24"/>
          <w:rtl w:val="1"/>
        </w:rPr>
        <w:t xml:space="preserve">  אפור – רקע חברתי-כלכלי ומניעת בושה</w:t>
      </w:r>
    </w:p>
    <w:p>
      <w:pPr>
        <w:bidi w:val="1"/>
        <w:spacing w:line="288" w:lineRule="auto" w:after="40"/>
        <w:jc w:val="both"/>
      </w:pPr>
      <w:r>
        <w:rPr>
          <w:rFonts w:ascii="David" w:hAnsi="David" w:cs="David"/>
          <w:noProof/>
          <w:color w:val="000000"/>
          <w:szCs w:val="24"/>
          <w:highlight w:val="red"/>
          <w:rtl w:val="1"/>
        </w:rPr>
        <w:t xml:space="preserve">       </w:t>
      </w:r>
      <w:r>
        <w:rPr>
          <w:rFonts w:ascii="David" w:hAnsi="David" w:cs="David"/>
          <w:noProof/>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שאלת הראיון</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1</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2</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3</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4</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5</w:t>
            </w:r>
          </w:p>
        </w:tc>
        <w:tc>
          <w:tcPr>
            <w:tcW w:type="dxa" w:w="1337"/>
          </w:tcPr>
          <w:p>
            <w:pPr>
              <w:bidi w:val="1"/>
              <w:jc w:val="center"/>
            </w:pPr>
            <w:r>
              <w:rPr>
                <w:rFonts w:ascii="David" w:hAnsi="David" w:cs="David"/>
                <w:noProof/>
                <w:color w:val="000000"/>
                <w:szCs w:val="24"/>
                <w:rtl w:val="1"/>
              </w:rPr>
            </w:r>
            <w:r>
              <w:rPr>
                <w:rFonts w:ascii="David" w:hAnsi="David" w:cs="David"/>
                <w:b/>
                <w:noProof/>
                <w:color w:val="000000"/>
                <w:sz w:val="18"/>
                <w:szCs w:val="18"/>
                <w:rtl w:val="1"/>
              </w:rPr>
              <w:t>מרואיינת 6</w:t>
            </w:r>
          </w:p>
        </w:tc>
      </w:tr>
      <w:tr>
        <w:tc>
          <w:tcPr>
            <w:tcW w:type="dxa" w:w="1337"/>
          </w:tcPr>
          <w:p>
            <w:pPr>
              <w:bidi w:val="1"/>
              <w:spacing w:line="240" w:lineRule="auto"/>
              <w:jc w:val="right"/>
            </w:pPr>
            <w:r>
              <w:rPr>
                <w:rFonts w:ascii="David" w:hAnsi="David" w:cs="David"/>
                <w:b/>
                <w:noProof/>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noProof/>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noProof/>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noProof/>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noProof/>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noProof/>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noProof/>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noProof/>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noProof/>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noProof/>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noProof/>
                <w:color w:val="000000"/>
                <w:sz w:val="16"/>
                <w:szCs w:val="16"/>
                <w:rtl w:val="1"/>
              </w:rPr>
              <w:t xml:space="preserve">כן, עבדתי בשלושה גנים לפני זה. הראשון היה בשכונה מבוססת מאוד, ושם הכל הגיע מהבית,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בגדים חדשים, וה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noProof/>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noProof/>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noProof/>
                <w:color w:val="000000"/>
                <w:sz w:val="16"/>
                <w:szCs w:val="16"/>
                <w:highlight w:val="lightGray"/>
                <w:rtl w:val="1"/>
              </w:rPr>
              <w:t>מוחלשת</w:t>
            </w:r>
            <w:r>
              <w:rPr>
                <w:rFonts w:ascii="David" w:hAnsi="David" w:cs="David"/>
                <w:noProof/>
                <w:color w:val="000000"/>
                <w:sz w:val="16"/>
                <w:szCs w:val="16"/>
                <w:rtl w:val="1"/>
              </w:rPr>
              <w:t xml:space="preserve">. ההבדל הוא תהומי. פה הילד מגיע לפעמים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noProof/>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noProof/>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noProof/>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noProof/>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noProof/>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noProof/>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noProof/>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קצת שונה מרוב הבנות בכיתה. אני חושבת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noProof/>
                <w:color w:val="000000"/>
                <w:sz w:val="16"/>
                <w:szCs w:val="16"/>
                <w:rtl w:val="1"/>
              </w:rPr>
              <w:t>הוכשרתי במכללה להכשרת גננות, נכנסתי ללימודים בגיל שלושים אחרי שנים במשרד. תראי,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noProof/>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noProof/>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לימד אותי ש</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הוא לפעמים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לא נוחות.</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לגיל הרך, אבל האמת היא שההכשרה שהכי מעצבת אותי היום היא דווקא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noProof/>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noProof/>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noProof/>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אז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הנוספים זה חלק מזה בעיני.</w:t>
            </w:r>
          </w:p>
        </w:tc>
        <w:tc>
          <w:tcPr>
            <w:tcW w:type="dxa" w:w="1337"/>
          </w:tcPr>
          <w:p>
            <w:pPr>
              <w:bidi w:val="1"/>
              <w:spacing w:line="240" w:lineRule="auto"/>
              <w:jc w:val="right"/>
            </w:pPr>
            <w:r>
              <w:rPr>
                <w:rFonts w:ascii="David" w:hAnsi="David" w:cs="David"/>
                <w:noProof/>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noProof/>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noProof/>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noProof/>
                <w:color w:val="000000"/>
                <w:sz w:val="16"/>
                <w:szCs w:val="16"/>
                <w:rtl w:val="1"/>
              </w:rPr>
              <w:t xml:space="preserve">כן, יש לי עוד תפקיד שמאוד יקר לי. אני מנחה בתכנית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חברתית, כלומר אני מלווה גננות אחרות ועוזרת להן להכניס שפה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noProof/>
                <w:color w:val="000000"/>
                <w:sz w:val="16"/>
                <w:szCs w:val="16"/>
                <w:rtl w:val="1"/>
              </w:rPr>
              <w:t xml:space="preserve">מעבר לניהול הגן עצמו, אני לא לוקחת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noProof/>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noProof/>
                <w:color w:val="000000"/>
                <w:sz w:val="16"/>
                <w:szCs w:val="16"/>
                <w:rtl w:val="1"/>
              </w:rPr>
              <w:t xml:space="preserve">תראי, כשאני שומעת צדק בגן הילדים, הדבר הראשון שעולה לי זה דווקא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אני יודעת שזה נשמע מוזר.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noProof/>
                <w:color w:val="000000"/>
                <w:sz w:val="16"/>
                <w:szCs w:val="16"/>
                <w:highlight w:val="green"/>
                <w:rtl w:val="1"/>
              </w:rPr>
              <w:t>מה שכל ילד צריך</w:t>
            </w:r>
            <w:r>
              <w:rPr>
                <w:rFonts w:ascii="David" w:hAnsi="David" w:cs="David"/>
                <w:noProof/>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דווקא לא של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צדק בגן זה בעיניי בעיקר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ולא סתם לחלק את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ולהגיד לעצמי שהיה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וזה גם ללמד את הילדים בעצמם לזהות מתי 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בסוף הם אלה שיחיו את העולם הזה. אז המילה הראשונה שלי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אלא ראייה של הילד.</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שצדק זה לא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הרבה אנשים חושבים שצדק זה שכולם מקבלים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וזה שונה מילד לילד. אם יש לי ילד שבא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הצדק שלי מתחיל בזה שאני מסתכלת על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לפני שאני מחלקת. אני גם חושבת מיד על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בשבילי צדק וכבוד זה כמעט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כי חוסר צדק בגן הוא כמעט תמיד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noProof/>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noProof/>
                <w:color w:val="000000"/>
                <w:sz w:val="16"/>
                <w:szCs w:val="16"/>
                <w:rtl w:val="1"/>
              </w:rPr>
              <w:t xml:space="preserve">המחשבה הראשונה שעולה לי היא לא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וזה שני דברים שונים לגמרי. צדק בגן בעיני זה לתת לכל ילד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להגיע לאותה נקודת פתיחה, לא לתת לכולם את אותו הדבר בדיוק.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חוזרת אליה כל הזמן. יש לי ילד, נקרא לו יוסי, שמגיע בבוקר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ארוחת בוקר בבטן. אם אני אתן לכולם פרוסה אחת, זה נשמע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לילד שאכל בבית זה קינוח ולילד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הישרדות. אז אני דואגת שיוסי יקבל יותר,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בלי להכריז,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מול החברים. הצדק האמיתי הוא הצדק שאף אחד לא רואה אותו קורה. צדק שמלווה ב</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noProof/>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noProof/>
                <w:color w:val="000000"/>
                <w:sz w:val="16"/>
                <w:szCs w:val="16"/>
                <w:rtl w:val="1"/>
              </w:rPr>
              <w:t xml:space="preserve">בהחלט, זה לב התפיסה שלי. אבל אני לא מדברת עם הילדים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noProof/>
                <w:color w:val="000000"/>
                <w:sz w:val="16"/>
                <w:szCs w:val="16"/>
                <w:highlight w:val="yellow"/>
                <w:rtl w:val="1"/>
              </w:rPr>
              <w:t>שקוף</w:t>
            </w:r>
            <w:r>
              <w:rPr>
                <w:rFonts w:ascii="David" w:hAnsi="David" w:cs="David"/>
                <w:noProof/>
                <w:color w:val="000000"/>
                <w:sz w:val="16"/>
                <w:szCs w:val="16"/>
                <w:rtl w:val="1"/>
              </w:rPr>
              <w:t xml:space="preserve"> לי, נעם,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אם אני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noProof/>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צנוע,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על לתת מקום, על להזמין את מי שלבד.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noProof/>
                <w:color w:val="000000"/>
                <w:sz w:val="16"/>
                <w:szCs w:val="16"/>
                <w:rtl w:val="1"/>
              </w:rPr>
              <w:t>לגמרי, זה ממש הלב של התפיסה שלי, אולי בגלל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noProof/>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אני עובדת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noProof/>
                <w:color w:val="000000"/>
                <w:sz w:val="16"/>
                <w:szCs w:val="16"/>
                <w:rtl w:val="1"/>
              </w:rPr>
              <w:t xml:space="preserve">בהחלט,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בהתהוות, ילד שלומד לראות את הרגש של השני ולא לפחד ממנו. אני גם מקפידה שבחלוקת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בגן לא תמיד אותם ילדים חזקים יובילו. לפעמים אני נותנת דווקא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noProof/>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noProof/>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noProof/>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noProof/>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noProof/>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noProof/>
                <w:color w:val="000000"/>
                <w:sz w:val="16"/>
                <w:szCs w:val="16"/>
                <w:rtl w:val="1"/>
              </w:rPr>
              <w:t xml:space="preserve">עם שלושים ושלושה ילדים, אם אני אחלק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לעצמי, כל ילד צריך לקבל </w:t>
            </w:r>
            <w:r>
              <w:rPr>
                <w:rFonts w:ascii="David" w:hAnsi="David" w:cs="David"/>
                <w:noProof/>
                <w:color w:val="000000"/>
                <w:sz w:val="16"/>
                <w:szCs w:val="16"/>
                <w:highlight w:val="yellow"/>
                <w:rtl w:val="1"/>
              </w:rPr>
              <w:t>רגע אישי</w:t>
            </w:r>
            <w:r>
              <w:rPr>
                <w:rFonts w:ascii="David" w:hAnsi="David" w:cs="David"/>
                <w:noProof/>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noProof/>
                <w:color w:val="000000"/>
                <w:sz w:val="16"/>
                <w:szCs w:val="16"/>
                <w:rtl w:val="1"/>
              </w:rPr>
              <w:t xml:space="preserve">תשומת הלב היא המשאב הכי יקר שיש לי, והחלוקה שלה היא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בגן שיש בו 38 ילדים וכל כך הרבה צרכים גדולים וקולניים,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noProof/>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noProof/>
                <w:color w:val="000000"/>
                <w:sz w:val="16"/>
                <w:szCs w:val="16"/>
                <w:rtl w:val="1"/>
              </w:rPr>
              <w:t xml:space="preserve">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noProof/>
                <w:color w:val="000000"/>
                <w:sz w:val="16"/>
                <w:szCs w:val="16"/>
                <w:highlight w:val="green"/>
                <w:rtl w:val="1"/>
              </w:rPr>
              <w:t>מה שהילד צריך</w:t>
            </w:r>
            <w:r>
              <w:rPr>
                <w:rFonts w:ascii="David" w:hAnsi="David" w:cs="David"/>
                <w:noProof/>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noProof/>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חזרתי לעיקרון שלי,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דקה.</w:t>
            </w:r>
          </w:p>
        </w:tc>
        <w:tc>
          <w:tcPr>
            <w:tcW w:type="dxa" w:w="1337"/>
          </w:tcPr>
          <w:p>
            <w:pPr>
              <w:bidi w:val="1"/>
              <w:spacing w:line="240" w:lineRule="auto"/>
              <w:jc w:val="right"/>
            </w:pPr>
            <w:r>
              <w:rPr>
                <w:rFonts w:ascii="David" w:hAnsi="David" w:cs="David"/>
                <w:noProof/>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איתי לא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noProof/>
                <w:color w:val="000000"/>
                <w:sz w:val="16"/>
                <w:szCs w:val="16"/>
                <w:highlight w:val="cyan"/>
                <w:rtl w:val="1"/>
              </w:rPr>
              <w:t>שווה</w:t>
            </w:r>
            <w:r>
              <w:rPr>
                <w:rFonts w:ascii="David" w:hAnsi="David" w:cs="David"/>
                <w:noProof/>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noProof/>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היא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המיוחדת תיצור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היא לימדה את כל הקבוצה מה זה לתמוך במישהו. אז אני לא מפחדת </w:t>
            </w:r>
            <w:r>
              <w:rPr>
                <w:rFonts w:ascii="David" w:hAnsi="David" w:cs="David"/>
                <w:noProof/>
                <w:color w:val="000000"/>
                <w:sz w:val="16"/>
                <w:szCs w:val="16"/>
                <w:highlight w:val="green"/>
                <w:rtl w:val="1"/>
              </w:rPr>
              <w:t>לתת יותר למי שצריך</w:t>
            </w:r>
            <w:r>
              <w:rPr>
                <w:rFonts w:ascii="David" w:hAnsi="David" w:cs="David"/>
                <w:noProof/>
                <w:color w:val="000000"/>
                <w:sz w:val="16"/>
                <w:szCs w:val="16"/>
                <w:rtl w:val="1"/>
              </w:rPr>
              <w:t xml:space="preserve"> יותר, כי זה מה שנראה לי באמת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noProof/>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לא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למדתי לעשות את זה חכם. במקום להצמיד אותו רק אליי, נתתי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noProof/>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noProof/>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עיוור אלא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noProof/>
                <w:color w:val="000000"/>
                <w:sz w:val="16"/>
                <w:szCs w:val="16"/>
                <w:rtl w:val="1"/>
              </w:rPr>
              <w:t>בחומרים אני עובדת עם דבר אחד שהוא מקור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אצלי,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יבוא.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הזאת עשתה פלאים. אין יותר מריבות על האופניים, כי אין אי ודאות.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בחלוקה של דברים פיזיים כמו אופניים או משחקים אני משתדלת שיהיו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noProof/>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noProof/>
                <w:color w:val="000000"/>
                <w:sz w:val="16"/>
                <w:szCs w:val="16"/>
                <w:highlight w:val="magenta"/>
                <w:rtl w:val="1"/>
              </w:rPr>
              <w:t>תור</w:t>
            </w:r>
            <w:r>
              <w:rPr>
                <w:rFonts w:ascii="David" w:hAnsi="David" w:cs="David"/>
                <w:noProof/>
                <w:color w:val="000000"/>
                <w:sz w:val="16"/>
                <w:szCs w:val="16"/>
                <w:rtl w:val="1"/>
              </w:rPr>
              <w:t>, יש שעון חול, יש שמות, ילד יודע שה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אני שונאת את הווי</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noProof/>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לא ב</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ילדה קטנה וחלשה, ועצרתי הכל, אמרתי לו, פה זה לא עובד ככה, פה כולם מקבלים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להזדים לו הזדמנות. החלוקה בגן שלי היא הצהרה, פה, בתוך הקירות האלה, לכולכם מגיע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noProof/>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noProof/>
                <w:color w:val="000000"/>
                <w:sz w:val="16"/>
                <w:szCs w:val="16"/>
                <w:rtl w:val="1"/>
              </w:rPr>
              <w:t xml:space="preserve">לא, בשבילי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שאני מנסה להעביר.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בדיוק.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להצליח.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כולם קיבלו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עומר נשאר מאחור ומתוסכל.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נתתי לעומר יותר ממני, ודווקא זה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מסבירה את זה גם לילדים בשפה שלהם, כשמישהו אומר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קיבל יותר, אני אומרת, לכל אחד יש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ואני נותנת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שממחישה את זה יפה.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נכון?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עיוור זה לפעמים אי צדק. אם לילד יש רגל שבורה ואני מכריחה אותו לרוץ עם כולם בשם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פגעתי בו. אז אני תמיד שואלת את עצמי, לא מה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בעיניי אחד הדברים הכי חשובים שגננת יכולה להבין.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כמעט כל יום. בזמן ארוחת בוקר, אם אני נותנת לכל ילד בדיוק חצי פרוסה,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נכון. אבל יש לי ילד גדול ו</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שחצי פרוסה לא מספיקה לו, ויש ילדה קטנטונת שגם חצי זה הרבה עליה. אז מה עשיתי פה ב</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גרמתי לאחד להישאר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ולשנייה לזרוק אוכל.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אבל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הנמוך עדיין לא רואה, ורק אם נותנים לו עוד ארגז זה הופך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noProof/>
                <w:color w:val="000000"/>
                <w:sz w:val="16"/>
                <w:szCs w:val="16"/>
                <w:rtl w:val="1"/>
              </w:rPr>
              <w:t xml:space="preserve">לא, בשום פנים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בעצם כל הסיפור שלי.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שכולם מקבלים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אתן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כביכול, כי לכולם אותו מסלול ואותו קו זינוק. אבל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בכלל, כי שירה יודעת מראש שהיא תגיע אחרונה, כל פעם, מול כל הגן. זו לא תחרות בשבילה, 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זה נתן לשירה מקום להצליח.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לשנות את המשחק כך שגם היא תוכל לזרוח. אני מעדיפה תמיד את ה</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אם מבחוץ הוא נראה פחות </w:t>
            </w:r>
            <w:r>
              <w:rPr>
                <w:rFonts w:ascii="David" w:hAnsi="David" w:cs="David"/>
                <w:noProof/>
                <w:color w:val="000000"/>
                <w:sz w:val="16"/>
                <w:szCs w:val="16"/>
                <w:highlight w:val="cyan"/>
                <w:rtl w:val="1"/>
              </w:rPr>
              <w:t>שווה</w:t>
            </w:r>
            <w:r>
              <w:rPr>
                <w:rFonts w:ascii="David" w:hAnsi="David" w:cs="David"/>
                <w:noProof/>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היבש לטובת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noProof/>
                <w:color w:val="000000"/>
                <w:sz w:val="16"/>
                <w:szCs w:val="16"/>
                <w:rtl w:val="1"/>
              </w:rPr>
              <w:t xml:space="preserve">לא, בשבילי אלה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אחד הדברים החשובים שלמדתי.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בדיוק אותה כמות, אותו זמן, אותו גודל.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כדי להרגיש טוב ולהצליח. אני נותנת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זה שכל אחד מקבל את מה שנכון לו ברגע שלו.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noProof/>
                <w:color w:val="000000"/>
                <w:sz w:val="16"/>
                <w:szCs w:val="16"/>
                <w:rtl w:val="1"/>
              </w:rPr>
              <w:t xml:space="preserve">לא, ממש לא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אולי הדבר הכי חשוב שהבנתי ב 24 השנים האלה.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לתת לכולם את אותו הדבר.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לתת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אני אתן לך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 מעיל אחד לכל ילד, גם למי שכבר יש. חלוקה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נשמע יפה ומרגיע. אצל הילד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זו אותה שאלה. פרוסה לכולם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אבל להביא ליוסי עוד ארוחה בבוקר בלי לספר לאף אחד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לפעמים דווקא </w:t>
            </w:r>
            <w:r>
              <w:rPr>
                <w:rFonts w:ascii="David" w:hAnsi="David" w:cs="David"/>
                <w:noProof/>
                <w:color w:val="000000"/>
                <w:sz w:val="16"/>
                <w:szCs w:val="16"/>
                <w:highlight w:val="green"/>
                <w:rtl w:val="1"/>
              </w:rPr>
              <w:t>לתת יותר</w:t>
            </w:r>
            <w:r>
              <w:rPr>
                <w:rFonts w:ascii="David" w:hAnsi="David" w:cs="David"/>
                <w:noProof/>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noProof/>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noProof/>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נותנת לו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ואומר, נעם עוד לא דיבר, ניתן לו. כמעט בכיתי. זה בדיוק הרגע שבו הבנתי שהוא לא </w:t>
            </w:r>
            <w:r>
              <w:rPr>
                <w:rFonts w:ascii="David" w:hAnsi="David" w:cs="David"/>
                <w:noProof/>
                <w:color w:val="000000"/>
                <w:sz w:val="16"/>
                <w:szCs w:val="16"/>
                <w:highlight w:val="magenta"/>
                <w:rtl w:val="1"/>
              </w:rPr>
              <w:t>לוקח מקום</w:t>
            </w:r>
            <w:r>
              <w:rPr>
                <w:rFonts w:ascii="David" w:hAnsi="David" w:cs="David"/>
                <w:noProof/>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noProof/>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ואני נותנת לילדים אחרים הזדמנות להוביל,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אני אומרת, היום דניאל הוביל, מחר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 שירה. ככה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אני גם פשוט שמה לזה מילים בשיחה קבוצתית,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noProof/>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יודע שגם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ה, יושבת הילדה שהייתי פעם.</w:t>
            </w:r>
          </w:p>
        </w:tc>
        <w:tc>
          <w:tcPr>
            <w:tcW w:type="dxa" w:w="1337"/>
          </w:tcPr>
          <w:p>
            <w:pPr>
              <w:bidi w:val="1"/>
              <w:spacing w:line="240" w:lineRule="auto"/>
              <w:jc w:val="right"/>
            </w:pPr>
            <w:r>
              <w:rPr>
                <w:rFonts w:ascii="David" w:hAnsi="David" w:cs="David"/>
                <w:noProof/>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לידו יקבלו את הכדור, כי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noProof/>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שנבלעים. במעגל אני אומרת בפירוש, עכשיו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ו של פלוני לדבר, ואנחנו מקשיבים לו. אני לא נותנת לילד אחד להיות כל הסיפור, כי אז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noProof/>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noProof/>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לא בעיה של הילד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זה אחד הדברים שאני הכי לא סובלת, ואני קופצת עליו מיד. אבל בגן שלי 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כמעט תמיד קשורה ל</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וזה מה שהופך אותה בעיני לעוול כפול. ילד </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בהרצאה על יפה לשתף, אתה נלחם בה בכך שאתה נותן לילד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noProof/>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noProof/>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שאף אחד ידע.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noProof/>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noProof/>
                <w:color w:val="000000"/>
                <w:sz w:val="16"/>
                <w:szCs w:val="16"/>
                <w:rtl w:val="1"/>
              </w:rPr>
              <w:t>כן, בהחלט, יש בגן שלנו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noProof/>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 xml:space="preserve"> פשוט לא יופיע על הרצפה של הגן. הכסף נשאר בחוץ, בשער. בפנים 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וזה עולה לי בעבודה ובמחשבה, אבל זה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רגע. אני מעדיפה להשקיע מהתקציב של הגן ומהזמן שלי, ובלבד שאף ילד לא ירגיש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noProof/>
                <w:color w:val="000000"/>
                <w:sz w:val="16"/>
                <w:szCs w:val="16"/>
                <w:rtl w:val="1"/>
              </w:rPr>
              <w:t>כן, בהחלט, יש לי בגן ילדים מ</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ים מאוד שונים, גם </w:t>
            </w:r>
            <w:r>
              <w:rPr>
                <w:rFonts w:ascii="David" w:hAnsi="David" w:cs="David"/>
                <w:noProof/>
                <w:color w:val="000000"/>
                <w:sz w:val="16"/>
                <w:szCs w:val="16"/>
                <w:highlight w:val="lightGray"/>
                <w:rtl w:val="1"/>
              </w:rPr>
              <w:t>כלכלי</w:t>
            </w:r>
            <w:r>
              <w:rPr>
                <w:rFonts w:ascii="David" w:hAnsi="David" w:cs="David"/>
                <w:noProof/>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פעם היה מקובל שכל ילד מביא עוגה מפוארת ומתנות, ואני שמתי לב שילד אחד, שההורים שלו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מילים, כי ילד לא צריך להרגיש שהוא מקרה. המטרה שלי היא שבתוך שערי הגן, כל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שבחוץ יישארו בחוץ, ושכל ילד ירגיש שכאן 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פשוט להפוך את מה שנראה כמו חיסרון למשהו 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זהב.</w:t>
            </w:r>
          </w:p>
        </w:tc>
        <w:tc>
          <w:tcPr>
            <w:tcW w:type="dxa" w:w="1337"/>
          </w:tcPr>
          <w:p>
            <w:pPr>
              <w:bidi w:val="1"/>
              <w:spacing w:line="240" w:lineRule="auto"/>
              <w:jc w:val="right"/>
            </w:pPr>
            <w:r>
              <w:rPr>
                <w:rFonts w:ascii="David" w:hAnsi="David" w:cs="David"/>
                <w:noProof/>
                <w:color w:val="000000"/>
                <w:sz w:val="16"/>
                <w:szCs w:val="16"/>
                <w:rtl w:val="1"/>
              </w:rPr>
              <w:t>כן, בהחלט, אם כי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אצלי הם פחות בין עשירים לעניים ויותר בין רמות שונות של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האלה כל רגע. אני אף פעם לא שואלת שאלות שיכולות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noProof/>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לא אקריא בקול מי ידע ומי לא.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אני לא מיישרת את כולם לאותה שורה. במקום זה, אני עובדת בקבוצות קטנות, לפי רמות,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אני נותנת לכל ילד כלים לפי מה שהוא מסוגל לקלוט. תראי,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לא הופך לפצע.</w:t>
            </w:r>
          </w:p>
        </w:tc>
        <w:tc>
          <w:tcPr>
            <w:tcW w:type="dxa" w:w="1337"/>
          </w:tcPr>
          <w:p>
            <w:pPr>
              <w:bidi w:val="1"/>
              <w:spacing w:line="240" w:lineRule="auto"/>
              <w:jc w:val="right"/>
            </w:pP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כי כל ילד מרגיש הצלחה בגובה שלו. אבל מה שהכי חשוב לי זה שהילדים לא ירגישו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כתחרות. אני אף פעם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למקור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של יהירות.</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עד היום בבטן, אז אני עושה בדיוק ההפך.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ילד שמתקשה להיפרד בבוקר מקבל טקס פרטי משלו, לא הצגה מול כולם. ב</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noProof/>
                <w:color w:val="000000"/>
                <w:sz w:val="16"/>
                <w:szCs w:val="16"/>
                <w:rtl w:val="1"/>
              </w:rPr>
              <w:t>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נעזרת בילדים החזקים כדי לעזור לחלשים, ילדה שבשלה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לא נעלמים, אבל אני משתדלת שהם לא יהפכו אצל אף ילד לתחושה שהוא פחות. כי בסוף,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הכי מסוכן הוא 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ביכולת, אלא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בביטחון, בכמה ילד מאמין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noProof/>
                <w:color w:val="000000"/>
                <w:sz w:val="16"/>
                <w:szCs w:val="16"/>
                <w:rtl w:val="1"/>
              </w:rPr>
              <w:t>אני מתמודדת עם ה</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אני נותנת </w:t>
            </w:r>
            <w:r>
              <w:rPr>
                <w:rFonts w:ascii="David" w:hAnsi="David" w:cs="David"/>
                <w:noProof/>
                <w:color w:val="000000"/>
                <w:sz w:val="16"/>
                <w:szCs w:val="16"/>
                <w:highlight w:val="magenta"/>
                <w:rtl w:val="1"/>
              </w:rPr>
              <w:t>יציב</w:t>
            </w:r>
            <w:r>
              <w:rPr>
                <w:rFonts w:ascii="David" w:hAnsi="David" w:cs="David"/>
                <w:noProof/>
                <w:color w:val="000000"/>
                <w:sz w:val="16"/>
                <w:szCs w:val="16"/>
                <w:rtl w:val="1"/>
              </w:rPr>
              <w:t xml:space="preserve">ות שבבית לפעמים אין, אותו סדר יום, אותם </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בשנה אחת. אבל אני יכולה לצמצם אותו, ואני יכולה לשתול בילד את התחושה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כל ילד אחר בעיר. וזה, בטווח הארוך,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מהכל.</w:t>
            </w:r>
          </w:p>
        </w:tc>
      </w:tr>
      <w:tr>
        <w:tc>
          <w:tcPr>
            <w:tcW w:type="dxa" w:w="1337"/>
          </w:tcPr>
          <w:p>
            <w:pPr>
              <w:bidi w:val="1"/>
              <w:spacing w:line="240" w:lineRule="auto"/>
              <w:jc w:val="right"/>
            </w:pPr>
            <w:r>
              <w:rPr>
                <w:rFonts w:ascii="David" w:hAnsi="David" w:cs="David"/>
                <w:b/>
                <w:noProof/>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גם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פזורים לאורך כל היום. שהצעצוע מהבית הופך משותף בשער. שאני לא פותחת בשאלות ש</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ות. שבחצר החלוקה של האופניים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ולא של החזק תופס. שבארוחה אני שמה לב שלכל ילד יש, ואם למישהו אין, אני מסדרת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noProof/>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כי הרעשנים לא בולעים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ים. אחר כך פעילות, ואז חצר, ושם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השמות על האופניים שומר על השלום. בארוחה אני מקפידה שהחלוקה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שאף אחד לא מקבל פחות, ושילד שאין לו אוכל מהבית מקבל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ובכבוד.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הם ה</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שכל ילד יידע מה הולך לקרות ומתי מגיע </w:t>
            </w:r>
            <w:r>
              <w:rPr>
                <w:rFonts w:ascii="David" w:hAnsi="David" w:cs="David"/>
                <w:noProof/>
                <w:color w:val="000000"/>
                <w:sz w:val="16"/>
                <w:szCs w:val="16"/>
                <w:highlight w:val="magenta"/>
                <w:rtl w:val="1"/>
              </w:rPr>
              <w:t>תור</w:t>
            </w:r>
            <w:r>
              <w:rPr>
                <w:rFonts w:ascii="David" w:hAnsi="David" w:cs="David"/>
                <w:noProof/>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noProof/>
                <w:color w:val="000000"/>
                <w:sz w:val="16"/>
                <w:szCs w:val="16"/>
                <w:highlight w:val="magenta"/>
                <w:rtl w:val="1"/>
              </w:rPr>
              <w:t>צפוי</w:t>
            </w:r>
            <w:r>
              <w:rPr>
                <w:rFonts w:ascii="David" w:hAnsi="David" w:cs="David"/>
                <w:noProof/>
                <w:color w:val="000000"/>
                <w:sz w:val="16"/>
                <w:szCs w:val="16"/>
                <w:rtl w:val="1"/>
              </w:rPr>
              <w:t>ה, הילד מרגיש בטוח, ומתוך ביטחון צומחת תחושת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יום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יום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במעגל אני מקפידה שכל ילד שרוצה לדבר יקבל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noProof/>
                <w:color w:val="000000"/>
                <w:sz w:val="16"/>
                <w:szCs w:val="16"/>
                <w:highlight w:val="green"/>
                <w:rtl w:val="1"/>
              </w:rPr>
              <w:t>לפי הצורך</w:t>
            </w:r>
            <w:r>
              <w:rPr>
                <w:rFonts w:ascii="David" w:hAnsi="David" w:cs="David"/>
                <w:noProof/>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noProof/>
                <w:color w:val="000000"/>
                <w:sz w:val="16"/>
                <w:szCs w:val="16"/>
                <w:highlight w:val="yellow"/>
                <w:rtl w:val="1"/>
              </w:rPr>
              <w:t>שקטים</w:t>
            </w:r>
            <w:r>
              <w:rPr>
                <w:rFonts w:ascii="David" w:hAnsi="David" w:cs="David"/>
                <w:noProof/>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noProof/>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בבוקר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 xml:space="preserve">יום טיפוסי אצלי מתחיל הרבה לפני שהילדים נכנסים. אני מגיעה מוקדם, מסדרת את </w:t>
            </w:r>
            <w:r>
              <w:rPr>
                <w:rFonts w:ascii="David" w:hAnsi="David" w:cs="David"/>
                <w:noProof/>
                <w:color w:val="000000"/>
                <w:sz w:val="16"/>
                <w:szCs w:val="16"/>
                <w:highlight w:val="magenta"/>
                <w:rtl w:val="1"/>
              </w:rPr>
              <w:t>המרחב</w:t>
            </w:r>
            <w:r>
              <w:rPr>
                <w:rFonts w:ascii="David" w:hAnsi="David" w:cs="David"/>
                <w:noProof/>
                <w:color w:val="000000"/>
                <w:sz w:val="16"/>
                <w:szCs w:val="16"/>
                <w:rtl w:val="1"/>
              </w:rPr>
              <w:t xml:space="preserve">, ובעיקר עושה לעצמי רגע של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שתיים, שחלוקת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היומיים תהיה מגוונת, שגם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לחצר, אז שיניתי את הסדר.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אבל הוא כן זוכר שדווקא היום נתתי לו להיות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noProof/>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בשיא העדינות, דואגת שה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ראשית שאף ילד לא יבוזה בגלל מה שאין לו, שנית שהחומרים והחוויות מגיעים לכולם ב</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ושלישית שאני מוצאת זמן לילד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שקל לפספס. אני שמה לב לדברים הקטנים, מי אף פעם לא נבחר לתפקיד, מי תמיד אחרון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מי אף אחד לא שם לב אליו.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noProof/>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noProof/>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האחרון כי הוא לא נלחם, שם אני מתערבת, כי זה עוול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שאף אחד לא צועק עליו. אני נזהרת לא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שאפשר לתקן. ילד שהעוול נבלע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noProof/>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כי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לא מלמדת כלום, היא רק פוצעת. אני עובדת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לפעמים בצד, בגובה העיניים. המקרים שהכי חשוב לי לפעול בהם הם מקרים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את מופתעת כמה הם יודעים לענות. פעם ילד אמר לחבר,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noProof/>
                <w:color w:val="000000"/>
                <w:sz w:val="16"/>
                <w:szCs w:val="16"/>
                <w:rtl w:val="1"/>
              </w:rPr>
              <w:t>מאוד חשוב לי, אני חושבת שזה אחד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noProof/>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או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 את שני הצדדים. אני לוקחת את הילד הפוגע הצידה,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noProof/>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בעצמם. אני מתערבת כשיש </w:t>
            </w:r>
            <w:r>
              <w:rPr>
                <w:rFonts w:ascii="David" w:hAnsi="David" w:cs="David"/>
                <w:noProof/>
                <w:color w:val="000000"/>
                <w:sz w:val="16"/>
                <w:szCs w:val="16"/>
                <w:highlight w:val="lightGray"/>
                <w:rtl w:val="1"/>
              </w:rPr>
              <w:t>פער</w:t>
            </w:r>
            <w:r>
              <w:rPr>
                <w:rFonts w:ascii="David" w:hAnsi="David" w:cs="David"/>
                <w:noProof/>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noProof/>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פה כל אחד מקבל מקום. אני עושה את זה במיוחד כשה</w:t>
            </w:r>
            <w:r>
              <w:rPr>
                <w:rFonts w:ascii="David" w:hAnsi="David" w:cs="David"/>
                <w:noProof/>
                <w:color w:val="000000"/>
                <w:sz w:val="16"/>
                <w:szCs w:val="16"/>
                <w:highlight w:val="magenta"/>
                <w:rtl w:val="1"/>
              </w:rPr>
              <w:t>הדרה</w:t>
            </w:r>
            <w:r>
              <w:rPr>
                <w:rFonts w:ascii="David" w:hAnsi="David" w:cs="David"/>
                <w:noProof/>
                <w:color w:val="000000"/>
                <w:sz w:val="16"/>
                <w:szCs w:val="16"/>
                <w:rtl w:val="1"/>
              </w:rPr>
              <w:t xml:space="preserve"> קשורה ל</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שרק שלושה ילדים תמיד מקבלים את האופניים. והם </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noProof/>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noProof/>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noProof/>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noProof/>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יותר מכל שיעור. עייפות היא לא תירוץ לוותר על ה</w:t>
            </w:r>
            <w:r>
              <w:rPr>
                <w:rFonts w:ascii="David" w:hAnsi="David" w:cs="David"/>
                <w:noProof/>
                <w:color w:val="000000"/>
                <w:sz w:val="16"/>
                <w:szCs w:val="16"/>
                <w:highlight w:val="yellow"/>
                <w:rtl w:val="1"/>
              </w:rPr>
              <w:t>הקשבה</w:t>
            </w:r>
            <w:r>
              <w:rPr>
                <w:rFonts w:ascii="David" w:hAnsi="David" w:cs="David"/>
                <w:noProof/>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noProof/>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רק לנו השתיים, כי גם התנצלות צריכה להיות בלי קהל, בדיוק כמו שה</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noProof/>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noProof/>
                <w:color w:val="000000"/>
                <w:sz w:val="16"/>
                <w:szCs w:val="16"/>
                <w:rtl w:val="1"/>
              </w:rPr>
              <w:t>היה מקרה שרודף אותי עד היום. בשנה עמוסה במיוחד, עם כל כך הרבה ילדים ב</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xml:space="preserve"> שצעקו ל</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הייתה לי ילדה, מור, ילדה </w:t>
            </w:r>
            <w:r>
              <w:rPr>
                <w:rFonts w:ascii="David" w:hAnsi="David" w:cs="David"/>
                <w:noProof/>
                <w:color w:val="000000"/>
                <w:sz w:val="16"/>
                <w:szCs w:val="16"/>
                <w:highlight w:val="yellow"/>
                <w:rtl w:val="1"/>
              </w:rPr>
              <w:t>שקטה</w:t>
            </w:r>
            <w:r>
              <w:rPr>
                <w:rFonts w:ascii="David" w:hAnsi="David" w:cs="David"/>
                <w:noProof/>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ובכל זאת נבלעה לי בין הקולניים. זה לא היה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noProof/>
                <w:color w:val="000000"/>
                <w:sz w:val="16"/>
                <w:szCs w:val="16"/>
                <w:highlight w:val="yellow"/>
                <w:rtl w:val="1"/>
              </w:rPr>
              <w:t>השקט</w:t>
            </w:r>
            <w:r>
              <w:rPr>
                <w:rFonts w:ascii="David" w:hAnsi="David" w:cs="David"/>
                <w:noProof/>
                <w:color w:val="000000"/>
                <w:sz w:val="16"/>
                <w:szCs w:val="16"/>
                <w:rtl w:val="1"/>
              </w:rPr>
              <w:t xml:space="preserve"> למשהו שיטתי, לא משהו שאני עושה אם יישאר זמן. כל יום ילד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אחד מקבל ממני רגע פרטי, לא משנה כמה הגן בוער. מור לימדה אותי שאי הצדק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noProof/>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כשמשהו נלקח ממנו. בהתחלה זה מאוד ממני מרכזי,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מקבל. אבל סביב ארבע וחצי, חמש, אני רואה קפיצה יפה,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יש לי </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הם גם מפתחים חוש חד לצביעות שלנו, אם אני אומרת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 רק להשקות אותם.</w:t>
            </w:r>
          </w:p>
        </w:tc>
        <w:tc>
          <w:tcPr>
            <w:tcW w:type="dxa" w:w="1337"/>
          </w:tcPr>
          <w:p>
            <w:pPr>
              <w:bidi w:val="1"/>
              <w:spacing w:line="240" w:lineRule="auto"/>
              <w:jc w:val="right"/>
            </w:pPr>
            <w:r>
              <w:rPr>
                <w:rFonts w:ascii="David" w:hAnsi="David" w:cs="David"/>
                <w:noProof/>
                <w:color w:val="000000"/>
                <w:sz w:val="16"/>
                <w:szCs w:val="16"/>
                <w:rtl w:val="1"/>
              </w:rPr>
              <w:t xml:space="preserve">ודאי שהם מבינים, ומגיל צעיר יותר ממה שחושבים. כבר בני שלוש מרגישים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בבטן, גם אם אין להם מילה לזה. אם אחד מקבל שתי סוכריות והשני אחת, תשמעי מיד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גם מפעוט. בגיל הזה זה עדיין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ל</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noProof/>
                <w:color w:val="000000"/>
                <w:sz w:val="16"/>
                <w:szCs w:val="16"/>
                <w:highlight w:val="yellow"/>
                <w:rtl w:val="1"/>
              </w:rPr>
              <w:t>רגשי</w:t>
            </w:r>
            <w:r>
              <w:rPr>
                <w:rFonts w:ascii="David" w:hAnsi="David" w:cs="David"/>
                <w:noProof/>
                <w:color w:val="000000"/>
                <w:sz w:val="16"/>
                <w:szCs w:val="16"/>
                <w:rtl w:val="1"/>
              </w:rPr>
              <w:t xml:space="preserve"> אמיתי. הם מבינים </w:t>
            </w:r>
            <w:r>
              <w:rPr>
                <w:rFonts w:ascii="David" w:hAnsi="David" w:cs="David"/>
                <w:noProof/>
                <w:color w:val="000000"/>
                <w:sz w:val="16"/>
                <w:szCs w:val="16"/>
                <w:highlight w:val="magenta"/>
                <w:rtl w:val="1"/>
              </w:rPr>
              <w:t>תור</w:t>
            </w:r>
            <w:r>
              <w:rPr>
                <w:rFonts w:ascii="David" w:hAnsi="David" w:cs="David"/>
                <w:noProof/>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לא תמיד לחלק </w:t>
            </w:r>
            <w:r>
              <w:rPr>
                <w:rFonts w:ascii="David" w:hAnsi="David" w:cs="David"/>
                <w:noProof/>
                <w:color w:val="000000"/>
                <w:sz w:val="16"/>
                <w:szCs w:val="16"/>
                <w:highlight w:val="cyan"/>
                <w:rtl w:val="1"/>
              </w:rPr>
              <w:t>שווה</w:t>
            </w:r>
            <w:r>
              <w:rPr>
                <w:rFonts w:ascii="David" w:hAnsi="David" w:cs="David"/>
                <w:noProof/>
                <w:color w:val="000000"/>
                <w:sz w:val="16"/>
                <w:szCs w:val="16"/>
                <w:rtl w:val="1"/>
              </w:rPr>
              <w:t>. הם ק</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noProof/>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noProof/>
                <w:color w:val="000000"/>
                <w:sz w:val="16"/>
                <w:szCs w:val="16"/>
                <w:highlight w:val="green"/>
                <w:rtl w:val="1"/>
              </w:rPr>
              <w:t>יותר עזרה</w:t>
            </w:r>
            <w:r>
              <w:rPr>
                <w:rFonts w:ascii="David" w:hAnsi="David" w:cs="David"/>
                <w:noProof/>
                <w:color w:val="000000"/>
                <w:sz w:val="16"/>
                <w:szCs w:val="16"/>
                <w:rtl w:val="1"/>
              </w:rPr>
              <w:t xml:space="preserve">. אז כן, בגיל הגן יש להם תשתית אמיתית להבנה של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היא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noProof/>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בדרך כלל כשהם מרגישים שקיפחו אותם. בהתחלה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אגואיסטית, כאילו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noProof/>
                <w:color w:val="000000"/>
                <w:sz w:val="16"/>
                <w:szCs w:val="16"/>
                <w:highlight w:val="red"/>
                <w:rtl w:val="1"/>
              </w:rPr>
              <w:t>דוגמה</w:t>
            </w:r>
            <w:r>
              <w:rPr>
                <w:rFonts w:ascii="David" w:hAnsi="David" w:cs="David"/>
                <w:noProof/>
                <w:color w:val="000000"/>
                <w:sz w:val="16"/>
                <w:szCs w:val="16"/>
                <w:rtl w:val="1"/>
              </w:rPr>
              <w:t xml:space="preserve">, כי הזרע כבר שם בפנים. וכשהם רואים אותי בעצמי נותנת לכל אחד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noProof/>
                <w:color w:val="000000"/>
                <w:sz w:val="16"/>
                <w:szCs w:val="16"/>
                <w:rtl w:val="1"/>
              </w:rPr>
              <w:t xml:space="preserve">אני מאמינה שכן, ילדים בגיל הגן מבינים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אבל בצורה שלהם, מאוד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ופחות שכלית. כבר סביב גיל שלוש אתה שומע את המשפט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אבל בהתחלה הוא כמעט תמיד אומר משהו כמו אני לא קיבלתי מה שרציתי. זו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עמוק יותר משהרבה מבוגרים. הם עדיין מתקשים עם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עוד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noProof/>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שלו יש שתי עוגיות ולי אחת. בהתחלה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אצלם היא בעצם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הם רוצים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תמיד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אני עושה את זה כל הזמן. אני שואלת, אם לחבר כואבת הרגל והוא לא יכול לרוץ,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בסוף השנה מציע מעצמו לתת לחבר חלש יותר את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אני רוצה בדיוק כמוך, ל</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noProof/>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noProof/>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noProof/>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עם שמות, וכולם עוברים בו, וזה בדיוק מה ששומר על רועי מוגן, כי גם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שלו מובטח. אמרתי לו, אני אוהבת את רועי ואדאג לו, אבל אדאג לו בתוך המסגרת ה</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noProof/>
                <w:color w:val="000000"/>
                <w:sz w:val="16"/>
                <w:szCs w:val="16"/>
                <w:rtl w:val="1"/>
              </w:rPr>
              <w:t>היה לי מקרה שהורה של ילד ביקש שדווקא הבן שלו תמיד יהיה ראשון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noProof/>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noProof/>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w:t>
            </w:r>
            <w:r>
              <w:rPr>
                <w:rFonts w:ascii="David" w:hAnsi="David" w:cs="David"/>
                <w:noProof/>
                <w:color w:val="000000"/>
                <w:sz w:val="16"/>
                <w:szCs w:val="16"/>
                <w:highlight w:val="yellow"/>
                <w:rtl w:val="1"/>
              </w:rPr>
              <w:t>רגשית</w:t>
            </w:r>
            <w:r>
              <w:rPr>
                <w:rFonts w:ascii="David" w:hAnsi="David" w:cs="David"/>
                <w:noProof/>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noProof/>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ם הכי טובים, כי לטענתה הוא מוכשר מהאחרים. הקשבתי לה בכבוד, ואז אמרתי לה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noProof/>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noProof/>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זה לא בהכרח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מול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הורה שואל, למה הילד השני קיבל יותר </w:t>
            </w:r>
            <w:r>
              <w:rPr>
                <w:rFonts w:ascii="David" w:hAnsi="David" w:cs="David"/>
                <w:noProof/>
                <w:color w:val="000000"/>
                <w:sz w:val="16"/>
                <w:szCs w:val="16"/>
                <w:highlight w:val="yellow"/>
                <w:rtl w:val="1"/>
              </w:rPr>
              <w:t>תשומת לב</w:t>
            </w:r>
            <w:r>
              <w:rPr>
                <w:rFonts w:ascii="David" w:hAnsi="David" w:cs="David"/>
                <w:noProof/>
                <w:color w:val="000000"/>
                <w:sz w:val="16"/>
                <w:szCs w:val="16"/>
                <w:rtl w:val="1"/>
              </w:rPr>
              <w:t xml:space="preserve">. אז אני מסבירה, בכבוד, שאני נותנת לכל ילד לפי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את ההורים, כי אני מאמינה שאם בגן אנחנו מלמדים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noProof/>
                <w:color w:val="000000"/>
                <w:sz w:val="16"/>
                <w:szCs w:val="16"/>
                <w:rtl w:val="1"/>
              </w:rPr>
              <w:t xml:space="preserve">אני משתפת, אבל בזהירות ובעיקר דרך מעשים, לא דרך הרצאות. אני לא עושה אסיפת 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כי זה נשמע מנותק. אבל אני כן מסבירה את המדיניות שלי, שהכל מגיע מהגן, שאין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noProof/>
                <w:color w:val="000000"/>
                <w:sz w:val="16"/>
                <w:szCs w:val="16"/>
                <w:rtl w:val="1"/>
              </w:rPr>
              <w:t>כן, אני מאמינה מאוד ב</w:t>
            </w:r>
            <w:r>
              <w:rPr>
                <w:rFonts w:ascii="David" w:hAnsi="David" w:cs="David"/>
                <w:noProof/>
                <w:color w:val="000000"/>
                <w:sz w:val="16"/>
                <w:szCs w:val="16"/>
                <w:highlight w:val="magenta"/>
                <w:rtl w:val="1"/>
              </w:rPr>
              <w:t>שקיפות</w:t>
            </w:r>
            <w:r>
              <w:rPr>
                <w:rFonts w:ascii="David" w:hAnsi="David" w:cs="David"/>
                <w:noProof/>
                <w:color w:val="000000"/>
                <w:sz w:val="16"/>
                <w:szCs w:val="16"/>
                <w:rtl w:val="1"/>
              </w:rPr>
              <w:t xml:space="preserve"> מול ההורים, כי הם שותפים אמיתיים. באסיפות הורים אני מדברת איתם על השפה של ה</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בגן, מסבירה למשל למה אצלנו </w:t>
            </w:r>
            <w:r>
              <w:rPr>
                <w:rFonts w:ascii="David" w:hAnsi="David" w:cs="David"/>
                <w:noProof/>
                <w:color w:val="000000"/>
                <w:sz w:val="16"/>
                <w:szCs w:val="16"/>
                <w:highlight w:val="lightGray"/>
                <w:rtl w:val="1"/>
              </w:rPr>
              <w:t>ימי הולדת</w:t>
            </w:r>
            <w:r>
              <w:rPr>
                <w:rFonts w:ascii="David" w:hAnsi="David" w:cs="David"/>
                <w:noProof/>
                <w:color w:val="000000"/>
                <w:sz w:val="16"/>
                <w:szCs w:val="16"/>
                <w:rtl w:val="1"/>
              </w:rPr>
              <w:t xml:space="preserve"> נחגגים באותה צורה לכולם, ולמה אני לא מ</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noProof/>
                <w:color w:val="000000"/>
                <w:sz w:val="16"/>
                <w:szCs w:val="16"/>
                <w:highlight w:val="red"/>
                <w:rtl w:val="1"/>
              </w:rPr>
              <w:t>תפקידי</w:t>
            </w:r>
            <w:r>
              <w:rPr>
                <w:rFonts w:ascii="David" w:hAnsi="David" w:cs="David"/>
                <w:noProof/>
                <w:color w:val="000000"/>
                <w:sz w:val="16"/>
                <w:szCs w:val="16"/>
                <w:rtl w:val="1"/>
              </w:rPr>
              <w:t xml:space="preserve">ם כדי שלאורך השנה כל ילד יזכה, ושבדיוק בגלל </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noProof/>
                <w:color w:val="000000"/>
                <w:sz w:val="16"/>
                <w:szCs w:val="16"/>
                <w:highlight w:val="cyan"/>
                <w:rtl w:val="1"/>
              </w:rPr>
              <w:t>אותו דבר</w:t>
            </w:r>
            <w:r>
              <w:rPr>
                <w:rFonts w:ascii="David" w:hAnsi="David" w:cs="David"/>
                <w:noProof/>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noProof/>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אלא סביב </w:t>
            </w:r>
            <w:r>
              <w:rPr>
                <w:rFonts w:ascii="David" w:hAnsi="David" w:cs="David"/>
                <w:noProof/>
                <w:color w:val="000000"/>
                <w:sz w:val="16"/>
                <w:szCs w:val="16"/>
                <w:highlight w:val="lightGray"/>
                <w:rtl w:val="1"/>
              </w:rPr>
              <w:t>מצוקה</w:t>
            </w:r>
            <w:r>
              <w:rPr>
                <w:rFonts w:ascii="David" w:hAnsi="David" w:cs="David"/>
                <w:noProof/>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noProof/>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noProof/>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הוא מבין את מה שהוא רואה. אם הוא רואה אותי מחלקת ב</w:t>
            </w:r>
            <w:r>
              <w:rPr>
                <w:rFonts w:ascii="David" w:hAnsi="David" w:cs="David"/>
                <w:noProof/>
                <w:color w:val="000000"/>
                <w:sz w:val="16"/>
                <w:szCs w:val="16"/>
                <w:highlight w:val="green"/>
                <w:rtl w:val="1"/>
              </w:rPr>
              <w:t>הוגנות</w:t>
            </w:r>
            <w:r>
              <w:rPr>
                <w:rFonts w:ascii="David" w:hAnsi="David" w:cs="David"/>
                <w:noProof/>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noProof/>
                <w:color w:val="000000"/>
                <w:sz w:val="16"/>
                <w:szCs w:val="16"/>
                <w:highlight w:val="red"/>
                <w:rtl w:val="1"/>
              </w:rPr>
              <w:t>דוגמה אישית</w:t>
            </w:r>
            <w:r>
              <w:rPr>
                <w:rFonts w:ascii="David" w:hAnsi="David" w:cs="David"/>
                <w:noProof/>
                <w:color w:val="000000"/>
                <w:sz w:val="16"/>
                <w:szCs w:val="16"/>
                <w:rtl w:val="1"/>
              </w:rPr>
              <w:t xml:space="preserve">, לא מהטפה, אני חוזרת לזה כי זה באמת האני מאמין שלי. אני לא מסוגלת </w:t>
            </w:r>
            <w:r>
              <w:rPr>
                <w:rFonts w:ascii="David" w:hAnsi="David" w:cs="David"/>
                <w:noProof/>
                <w:color w:val="000000"/>
                <w:sz w:val="16"/>
                <w:szCs w:val="16"/>
                <w:highlight w:val="red"/>
                <w:rtl w:val="1"/>
              </w:rPr>
              <w:t>לחנך</w:t>
            </w:r>
            <w:r>
              <w:rPr>
                <w:rFonts w:ascii="David" w:hAnsi="David" w:cs="David"/>
                <w:noProof/>
                <w:color w:val="000000"/>
                <w:sz w:val="16"/>
                <w:szCs w:val="16"/>
                <w:rtl w:val="1"/>
              </w:rPr>
              <w:t xml:space="preserve"> לצדק אם אני עצמי לא </w:t>
            </w:r>
            <w:r>
              <w:rPr>
                <w:rFonts w:ascii="David" w:hAnsi="David" w:cs="David"/>
                <w:noProof/>
                <w:color w:val="000000"/>
                <w:sz w:val="16"/>
                <w:szCs w:val="16"/>
                <w:highlight w:val="green"/>
                <w:rtl w:val="1"/>
              </w:rPr>
              <w:t>הוגנת</w:t>
            </w:r>
            <w:r>
              <w:rPr>
                <w:rFonts w:ascii="David" w:hAnsi="David" w:cs="David"/>
                <w:noProof/>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noProof/>
                <w:color w:val="000000"/>
                <w:sz w:val="16"/>
                <w:szCs w:val="16"/>
                <w:highlight w:val="yellow"/>
                <w:rtl w:val="1"/>
              </w:rPr>
              <w:t>שקוף</w:t>
            </w:r>
            <w:r>
              <w:rPr>
                <w:rFonts w:ascii="David" w:hAnsi="David" w:cs="David"/>
                <w:noProof/>
                <w:color w:val="000000"/>
                <w:sz w:val="16"/>
                <w:szCs w:val="16"/>
                <w:rtl w:val="1"/>
              </w:rPr>
              <w:t>.</w:t>
            </w:r>
          </w:p>
        </w:tc>
        <w:tc>
          <w:tcPr>
            <w:tcW w:type="dxa" w:w="1337"/>
          </w:tcPr>
          <w:p>
            <w:pPr>
              <w:bidi w:val="1"/>
              <w:spacing w:line="240" w:lineRule="auto"/>
              <w:jc w:val="right"/>
            </w:pPr>
            <w:r>
              <w:rPr>
                <w:rFonts w:ascii="David" w:hAnsi="David" w:cs="David"/>
                <w:noProof/>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noProof/>
                <w:color w:val="000000"/>
                <w:sz w:val="16"/>
                <w:szCs w:val="16"/>
                <w:highlight w:val="magenta"/>
                <w:rtl w:val="1"/>
              </w:rPr>
              <w:t>כללים</w:t>
            </w:r>
            <w:r>
              <w:rPr>
                <w:rFonts w:ascii="David" w:hAnsi="David" w:cs="David"/>
                <w:noProof/>
                <w:color w:val="000000"/>
                <w:sz w:val="16"/>
                <w:szCs w:val="16"/>
                <w:rtl w:val="1"/>
              </w:rPr>
              <w:t xml:space="preserve"> הגדולים של החיים. איך מחכים ב</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איך נותנים מקום, איך לא דורסים את החלש, איך מזמינים את מי שלבד. אלה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צדק ו</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xml:space="preserve">, שאני לא </w:t>
            </w:r>
            <w:r>
              <w:rPr>
                <w:rFonts w:ascii="David" w:hAnsi="David" w:cs="David"/>
                <w:noProof/>
                <w:color w:val="000000"/>
                <w:sz w:val="16"/>
                <w:szCs w:val="16"/>
                <w:highlight w:val="lightGray"/>
                <w:rtl w:val="1"/>
              </w:rPr>
              <w:t>מבייש</w:t>
            </w:r>
            <w:r>
              <w:rPr>
                <w:rFonts w:ascii="David" w:hAnsi="David" w:cs="David"/>
                <w:noProof/>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noProof/>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noProof/>
                <w:color w:val="000000"/>
                <w:sz w:val="16"/>
                <w:szCs w:val="16"/>
                <w:highlight w:val="lightGray"/>
                <w:rtl w:val="1"/>
              </w:rPr>
              <w:t>רקע</w:t>
            </w:r>
            <w:r>
              <w:rPr>
                <w:rFonts w:ascii="David" w:hAnsi="David" w:cs="David"/>
                <w:noProof/>
                <w:color w:val="000000"/>
                <w:sz w:val="16"/>
                <w:szCs w:val="16"/>
                <w:rtl w:val="1"/>
              </w:rPr>
              <w:t xml:space="preserve"> שלי בחינוך לשלום הביא אותי לזה, ואני מרגישה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noProof/>
                <w:color w:val="000000"/>
                <w:sz w:val="16"/>
                <w:szCs w:val="16"/>
                <w:highlight w:val="green"/>
                <w:rtl w:val="1"/>
              </w:rPr>
              <w:t>הוגן</w:t>
            </w:r>
            <w:r>
              <w:rPr>
                <w:rFonts w:ascii="David" w:hAnsi="David" w:cs="David"/>
                <w:noProof/>
                <w:color w:val="000000"/>
                <w:sz w:val="16"/>
                <w:szCs w:val="16"/>
                <w:rtl w:val="1"/>
              </w:rPr>
              <w:t xml:space="preserve">. אם בגן הוא חווה מקום שבו לא משנה מאיפה באת, מה יש להורים שלך, איך אתה נראה, </w:t>
            </w:r>
            <w:r>
              <w:rPr>
                <w:rFonts w:ascii="David" w:hAnsi="David" w:cs="David"/>
                <w:noProof/>
                <w:color w:val="000000"/>
                <w:sz w:val="16"/>
                <w:szCs w:val="16"/>
                <w:highlight w:val="cyan"/>
                <w:rtl w:val="1"/>
              </w:rPr>
              <w:t>כולם שווים</w:t>
            </w:r>
            <w:r>
              <w:rPr>
                <w:rFonts w:ascii="David" w:hAnsi="David" w:cs="David"/>
                <w:noProof/>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noProof/>
                <w:color w:val="000000"/>
                <w:sz w:val="16"/>
                <w:szCs w:val="16"/>
                <w:highlight w:val="magenta"/>
                <w:rtl w:val="1"/>
              </w:rPr>
              <w:t>מודר</w:t>
            </w:r>
            <w:r>
              <w:rPr>
                <w:rFonts w:ascii="David" w:hAnsi="David" w:cs="David"/>
                <w:noProof/>
                <w:color w:val="000000"/>
                <w:sz w:val="16"/>
                <w:szCs w:val="16"/>
                <w:rtl w:val="1"/>
              </w:rPr>
              <w:t xml:space="preserve"> יקבל חבר, שגם ה</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יקבל אוכל בלי </w:t>
            </w:r>
            <w:r>
              <w:rPr>
                <w:rFonts w:ascii="David" w:hAnsi="David" w:cs="David"/>
                <w:noProof/>
                <w:color w:val="000000"/>
                <w:sz w:val="16"/>
                <w:szCs w:val="16"/>
                <w:highlight w:val="lightGray"/>
                <w:rtl w:val="1"/>
              </w:rPr>
              <w:t>בושה</w:t>
            </w:r>
            <w:r>
              <w:rPr>
                <w:rFonts w:ascii="David" w:hAnsi="David" w:cs="David"/>
                <w:noProof/>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 xml:space="preserve">. לחלק </w:t>
            </w:r>
            <w:r>
              <w:rPr>
                <w:rFonts w:ascii="David" w:hAnsi="David" w:cs="David"/>
                <w:noProof/>
                <w:color w:val="000000"/>
                <w:sz w:val="16"/>
                <w:szCs w:val="16"/>
                <w:highlight w:val="cyan"/>
                <w:rtl w:val="1"/>
              </w:rPr>
              <w:t>שווה בשווה</w:t>
            </w:r>
            <w:r>
              <w:rPr>
                <w:rFonts w:ascii="David" w:hAnsi="David" w:cs="David"/>
                <w:noProof/>
                <w:color w:val="000000"/>
                <w:sz w:val="16"/>
                <w:szCs w:val="16"/>
                <w:rtl w:val="1"/>
              </w:rPr>
              <w:t xml:space="preserve"> זה קל, זה לא דורש ממני כלום. להכיר כל ילד ולתת לו </w:t>
            </w:r>
            <w:r>
              <w:rPr>
                <w:rFonts w:ascii="David" w:hAnsi="David" w:cs="David"/>
                <w:noProof/>
                <w:color w:val="000000"/>
                <w:sz w:val="16"/>
                <w:szCs w:val="16"/>
                <w:highlight w:val="green"/>
                <w:rtl w:val="1"/>
              </w:rPr>
              <w:t>מה שהוא צריך</w:t>
            </w:r>
            <w:r>
              <w:rPr>
                <w:rFonts w:ascii="David" w:hAnsi="David" w:cs="David"/>
                <w:noProof/>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noProof/>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של </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xml:space="preserve"> ו</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לא נעשה דרך שיעורים על </w:t>
            </w:r>
            <w:r>
              <w:rPr>
                <w:rFonts w:ascii="David" w:hAnsi="David" w:cs="David"/>
                <w:noProof/>
                <w:color w:val="000000"/>
                <w:sz w:val="16"/>
                <w:szCs w:val="16"/>
                <w:highlight w:val="red"/>
                <w:rtl w:val="1"/>
              </w:rPr>
              <w:t>ערכים</w:t>
            </w:r>
            <w:r>
              <w:rPr>
                <w:rFonts w:ascii="David" w:hAnsi="David" w:cs="David"/>
                <w:noProof/>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יקבל מקום, איך אני מתייחסת באותו כבוד לילד מכל בית. אני מאמינה עמוק ש</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noProof/>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noProof/>
                <w:color w:val="000000"/>
                <w:sz w:val="16"/>
                <w:szCs w:val="16"/>
                <w:highlight w:val="red"/>
                <w:rtl w:val="1"/>
              </w:rPr>
              <w:t>צדק חברתי</w:t>
            </w:r>
            <w:r>
              <w:rPr>
                <w:rFonts w:ascii="David" w:hAnsi="David" w:cs="David"/>
                <w:noProof/>
                <w:color w:val="000000"/>
                <w:sz w:val="16"/>
                <w:szCs w:val="16"/>
                <w:rtl w:val="1"/>
              </w:rPr>
              <w:t xml:space="preserve"> בכל בוקר מחדש. אני לא מטיפה ל</w:t>
            </w:r>
            <w:r>
              <w:rPr>
                <w:rFonts w:ascii="David" w:hAnsi="David" w:cs="David"/>
                <w:noProof/>
                <w:color w:val="000000"/>
                <w:sz w:val="16"/>
                <w:szCs w:val="16"/>
                <w:highlight w:val="cyan"/>
                <w:rtl w:val="1"/>
              </w:rPr>
              <w:t>שוויון</w:t>
            </w:r>
            <w:r>
              <w:rPr>
                <w:rFonts w:ascii="David" w:hAnsi="David" w:cs="David"/>
                <w:noProof/>
                <w:color w:val="000000"/>
                <w:sz w:val="16"/>
                <w:szCs w:val="16"/>
                <w:rtl w:val="1"/>
              </w:rPr>
              <w:t>, אני עושה אותו בפועל, ב</w:t>
            </w:r>
            <w:r>
              <w:rPr>
                <w:rFonts w:ascii="David" w:hAnsi="David" w:cs="David"/>
                <w:noProof/>
                <w:color w:val="000000"/>
                <w:sz w:val="16"/>
                <w:szCs w:val="16"/>
                <w:highlight w:val="yellow"/>
                <w:rtl w:val="1"/>
              </w:rPr>
              <w:t>שקט</w:t>
            </w:r>
            <w:r>
              <w:rPr>
                <w:rFonts w:ascii="David" w:hAnsi="David" w:cs="David"/>
                <w:noProof/>
                <w:color w:val="000000"/>
                <w:sz w:val="16"/>
                <w:szCs w:val="16"/>
                <w:rtl w:val="1"/>
              </w:rPr>
              <w:t xml:space="preserve">, במעשים קטנים שאף אחד לא כותב עליהם בעיתון. כשאני מביאה ארוחה לילד </w:t>
            </w:r>
            <w:r>
              <w:rPr>
                <w:rFonts w:ascii="David" w:hAnsi="David" w:cs="David"/>
                <w:noProof/>
                <w:color w:val="000000"/>
                <w:sz w:val="16"/>
                <w:szCs w:val="16"/>
                <w:highlight w:val="lightGray"/>
                <w:rtl w:val="1"/>
              </w:rPr>
              <w:t>רעב</w:t>
            </w:r>
            <w:r>
              <w:rPr>
                <w:rFonts w:ascii="David" w:hAnsi="David" w:cs="David"/>
                <w:noProof/>
                <w:color w:val="000000"/>
                <w:sz w:val="16"/>
                <w:szCs w:val="16"/>
                <w:rtl w:val="1"/>
              </w:rPr>
              <w:t xml:space="preserve"> בלי </w:t>
            </w:r>
            <w:r>
              <w:rPr>
                <w:rFonts w:ascii="David" w:hAnsi="David" w:cs="David"/>
                <w:noProof/>
                <w:color w:val="000000"/>
                <w:sz w:val="16"/>
                <w:szCs w:val="16"/>
                <w:highlight w:val="lightGray"/>
                <w:rtl w:val="1"/>
              </w:rPr>
              <w:t>לבייש</w:t>
            </w:r>
            <w:r>
              <w:rPr>
                <w:rFonts w:ascii="David" w:hAnsi="David" w:cs="David"/>
                <w:noProof/>
                <w:color w:val="000000"/>
                <w:sz w:val="16"/>
                <w:szCs w:val="16"/>
                <w:rtl w:val="1"/>
              </w:rPr>
              <w:t xml:space="preserve"> אותו, זה צדק. כשאני לוקחת ילד לים בפעם הראשונה בחייו, זה צמצום </w:t>
            </w:r>
            <w:r>
              <w:rPr>
                <w:rFonts w:ascii="David" w:hAnsi="David" w:cs="David"/>
                <w:noProof/>
                <w:color w:val="000000"/>
                <w:sz w:val="16"/>
                <w:szCs w:val="16"/>
                <w:highlight w:val="lightGray"/>
                <w:rtl w:val="1"/>
              </w:rPr>
              <w:t>פערים</w:t>
            </w:r>
            <w:r>
              <w:rPr>
                <w:rFonts w:ascii="David" w:hAnsi="David" w:cs="David"/>
                <w:noProof/>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noProof/>
                <w:color w:val="000000"/>
                <w:sz w:val="16"/>
                <w:szCs w:val="16"/>
                <w:highlight w:val="magenta"/>
                <w:rtl w:val="1"/>
              </w:rPr>
              <w:t>תור</w:t>
            </w:r>
            <w:r>
              <w:rPr>
                <w:rFonts w:ascii="David" w:hAnsi="David" w:cs="David"/>
                <w:noProof/>
                <w:color w:val="000000"/>
                <w:sz w:val="16"/>
                <w:szCs w:val="16"/>
                <w:rtl w:val="1"/>
              </w:rPr>
              <w:t xml:space="preserve"> שלי להיות המישהי הזאת בשביל 38 ילדים כל שנה. אני יודעת שאני לא יכולה לתקן את כל ה</w:t>
            </w:r>
            <w:r>
              <w:rPr>
                <w:rFonts w:ascii="David" w:hAnsi="David" w:cs="David"/>
                <w:noProof/>
                <w:color w:val="000000"/>
                <w:sz w:val="16"/>
                <w:szCs w:val="16"/>
                <w:highlight w:val="lightGray"/>
                <w:rtl w:val="1"/>
              </w:rPr>
              <w:t>עוני</w:t>
            </w:r>
            <w:r>
              <w:rPr>
                <w:rFonts w:ascii="David" w:hAnsi="David" w:cs="David"/>
                <w:noProof/>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noProof/>
                <w:color w:val="000000"/>
                <w:sz w:val="16"/>
                <w:szCs w:val="16"/>
                <w:highlight w:val="cyan"/>
                <w:rtl w:val="1"/>
              </w:rPr>
              <w:t>שווה</w:t>
            </w:r>
            <w:r>
              <w:rPr>
                <w:rFonts w:ascii="David" w:hAnsi="David" w:cs="David"/>
                <w:noProof/>
                <w:color w:val="000000"/>
                <w:sz w:val="16"/>
                <w:szCs w:val="16"/>
                <w:rtl w:val="1"/>
              </w:rPr>
              <w:t xml:space="preserve"> בדיוק כמו כולם. וזאת, בעיני, המשמעות האמיתית של להיות גננת. זה לא מקצוע, זו </w:t>
            </w:r>
            <w:r>
              <w:rPr>
                <w:rFonts w:ascii="David" w:hAnsi="David" w:cs="David"/>
                <w:noProof/>
                <w:color w:val="000000"/>
                <w:sz w:val="16"/>
                <w:szCs w:val="16"/>
                <w:highlight w:val="red"/>
                <w:rtl w:val="1"/>
              </w:rPr>
              <w:t>שליחות</w:t>
            </w:r>
            <w:r>
              <w:rPr>
                <w:rFonts w:ascii="David" w:hAnsi="David" w:cs="David"/>
                <w:noProof/>
                <w:color w:val="000000"/>
                <w:sz w:val="16"/>
                <w:szCs w:val="16"/>
                <w:rtl w:val="1"/>
              </w:rPr>
              <w:t>.</w:t>
            </w:r>
          </w:p>
        </w:tc>
      </w:tr>
    </w:tbl>
    <w:p>
      <w:pPr>
        <w:jc w:val="both"/>
      </w:pPr>
      <w:r>
        <w:rPr>
          <w:noProof/>
          <w:color w:val="000000"/>
        </w:rPr>
        <w:br w:type="page"/>
      </w:r>
    </w:p>
    <w:p>
      <w:pPr>
        <w:bidi w:val="1"/>
        <w:jc w:val="right"/>
      </w:pPr>
      <w:r>
        <w:rPr>
          <w:rFonts w:ascii="David" w:hAnsi="David" w:cs="David"/>
          <w:b/>
          <w:bCs/>
          <w:noProof/>
          <w:color w:val="000000"/>
          <w:sz w:val="24"/>
          <w:szCs w:val="24"/>
          <w:rtl/>
        </w:rPr>
        <w:t>טבלה 2: מיפוי הקטגוריות הנחשפות מן הראיונות וקישורן לסקירת הספרות</w:t>
      </w:r>
    </w:p>
    <w:p>
      <w:pPr>
        <w:bidi w:val="1"/>
        <w:spacing w:line="360" w:lineRule="auto"/>
        <w:jc w:val="both"/>
      </w:pPr>
      <w:r>
        <w:rPr>
          <w:rFonts w:ascii="David" w:hAnsi="David" w:cs="David"/>
          <w:b w:val="0"/>
          <w:noProof/>
          <w:color w:val="000000"/>
          <w:sz w:val="24"/>
          <w:szCs w:val="24"/>
          <w:rtl/>
        </w:rPr>
        <w:t>להלן טבלת המיפוי של הקטגוריות הראשיות והמשניות שנחשפו מן הראיונות, בצירוף ציטוטים מייצגים והעיגון התיאורטי של כל קטגוריה בסקירת הספרות, כפי שנדרש בשלב השלישי של ניתוח הנתונים.</w:t>
      </w:r>
    </w:p>
    <w:tbl>
      <w:tblPr>
        <w:tblStyle w:val="TableGrid"/>
        <w:tblW w:type="auto" w:w="0"/>
        <w:tblLook w:firstColumn="1" w:firstRow="1" w:lastColumn="0" w:lastRow="0" w:noHBand="0" w:noVBand="1" w:val="04A0"/>
        <w:bidiVisual/>
      </w:tblPr>
      <w:tblGrid>
        <w:gridCol w:w="2340"/>
        <w:gridCol w:w="2340"/>
        <w:gridCol w:w="2340"/>
        <w:gridCol w:w="2340"/>
      </w:tblGrid>
      <w:tr>
        <w:tc>
          <w:tcPr>
            <w:tcW w:type="dxa" w:w="2340"/>
          </w:tcPr>
          <w:p>
            <w:pPr>
              <w:bidi w:val="1"/>
              <w:jc w:val="right"/>
            </w:pPr>
            <w:r>
              <w:rPr>
                <w:rFonts w:ascii="David" w:hAnsi="David" w:cs="David"/>
                <w:b/>
                <w:bCs/>
                <w:noProof/>
                <w:color w:val="000000"/>
                <w:sz w:val="22"/>
                <w:szCs w:val="22"/>
                <w:rtl/>
              </w:rPr>
              <w:t>קטגוריה ראשית</w:t>
            </w:r>
          </w:p>
        </w:tc>
        <w:tc>
          <w:tcPr>
            <w:tcW w:type="dxa" w:w="2340"/>
          </w:tcPr>
          <w:p>
            <w:pPr>
              <w:bidi w:val="1"/>
              <w:jc w:val="right"/>
            </w:pPr>
            <w:r>
              <w:rPr>
                <w:rFonts w:ascii="David" w:hAnsi="David" w:cs="David"/>
                <w:b/>
                <w:bCs/>
                <w:noProof/>
                <w:color w:val="000000"/>
                <w:sz w:val="22"/>
                <w:szCs w:val="22"/>
                <w:rtl/>
              </w:rPr>
              <w:t>קטגוריות משניות</w:t>
            </w:r>
          </w:p>
        </w:tc>
        <w:tc>
          <w:tcPr>
            <w:tcW w:type="dxa" w:w="2340"/>
          </w:tcPr>
          <w:p>
            <w:pPr>
              <w:bidi w:val="1"/>
              <w:jc w:val="right"/>
            </w:pPr>
            <w:r>
              <w:rPr>
                <w:rFonts w:ascii="David" w:hAnsi="David" w:cs="David"/>
                <w:b/>
                <w:bCs/>
                <w:noProof/>
                <w:color w:val="000000"/>
                <w:sz w:val="22"/>
                <w:szCs w:val="22"/>
                <w:rtl/>
              </w:rPr>
              <w:t>ציטוטים/נתונים מייצגים</w:t>
            </w:r>
          </w:p>
        </w:tc>
        <w:tc>
          <w:tcPr>
            <w:tcW w:type="dxa" w:w="2340"/>
          </w:tcPr>
          <w:p>
            <w:pPr>
              <w:bidi w:val="1"/>
              <w:jc w:val="right"/>
            </w:pPr>
            <w:r>
              <w:rPr>
                <w:rFonts w:ascii="David" w:hAnsi="David" w:cs="David"/>
                <w:b/>
                <w:bCs/>
                <w:noProof/>
                <w:color w:val="000000"/>
                <w:sz w:val="22"/>
                <w:szCs w:val="22"/>
                <w:rtl/>
              </w:rPr>
              <w:t>עיגון בסקירת הספרות</w:t>
            </w:r>
          </w:p>
        </w:tc>
      </w:tr>
      <w:tr>
        <w:tc>
          <w:tcPr>
            <w:tcW w:type="dxa" w:w="2340"/>
          </w:tcPr>
          <w:p>
            <w:pPr>
              <w:bidi w:val="1"/>
              <w:jc w:val="right"/>
            </w:pPr>
            <w:r>
              <w:rPr>
                <w:rFonts w:ascii="David" w:hAnsi="David" w:cs="David"/>
                <w:b w:val="0"/>
                <w:noProof/>
                <w:color w:val="000000"/>
                <w:sz w:val="22"/>
                <w:szCs w:val="22"/>
                <w:rtl/>
              </w:rPr>
              <w:t>תפיסת המונח "צדק בגן"</w:t>
            </w:r>
          </w:p>
        </w:tc>
        <w:tc>
          <w:tcPr>
            <w:tcW w:type="dxa" w:w="2340"/>
          </w:tcPr>
          <w:p>
            <w:pPr>
              <w:bidi w:val="1"/>
              <w:jc w:val="right"/>
            </w:pPr>
            <w:r>
              <w:rPr>
                <w:rFonts w:ascii="David" w:hAnsi="David" w:cs="David"/>
                <w:b w:val="0"/>
                <w:noProof/>
                <w:color w:val="000000"/>
                <w:sz w:val="22"/>
                <w:szCs w:val="22"/>
                <w:rtl/>
              </w:rPr>
              <w:t>ראיית הילד הבודד ומענה לצרכיו; שוויון הזדמנויות וצמצום פערים; הקשבה וניהול מתחים בין צרכים</w:t>
            </w:r>
          </w:p>
        </w:tc>
        <w:tc>
          <w:tcPr>
            <w:tcW w:type="dxa" w:w="2340"/>
          </w:tcPr>
          <w:p>
            <w:pPr>
              <w:bidi w:val="1"/>
              <w:jc w:val="right"/>
            </w:pPr>
            <w:r>
              <w:rPr>
                <w:rFonts w:ascii="David" w:hAnsi="David" w:cs="David"/>
                <w:b w:val="0"/>
                <w:noProof/>
                <w:color w:val="000000"/>
                <w:sz w:val="22"/>
                <w:szCs w:val="22"/>
                <w:rtl/>
              </w:rPr>
              <w:t>"צדק בגן זה להכיר כל ילד ולתת לו את מה שהוא צריך" (מרואיינת 4); "צדק של מי" (מרואיינת 5)</w:t>
            </w:r>
          </w:p>
        </w:tc>
        <w:tc>
          <w:tcPr>
            <w:tcW w:type="dxa" w:w="2340"/>
          </w:tcPr>
          <w:p>
            <w:pPr>
              <w:bidi w:val="1"/>
              <w:jc w:val="right"/>
            </w:pPr>
            <w:r>
              <w:rPr>
                <w:rFonts w:ascii="David" w:hAnsi="David" w:cs="David"/>
                <w:b w:val="0"/>
                <w:noProof/>
                <w:color w:val="000000"/>
                <w:sz w:val="22"/>
                <w:szCs w:val="22"/>
                <w:rtl/>
              </w:rPr>
              <w:t>Connell (1993); סבג וביברמן-שלו (2014); דהאן (2010); Horan ואחרים (2010)</w:t>
            </w:r>
          </w:p>
        </w:tc>
      </w:tr>
      <w:tr>
        <w:tc>
          <w:tcPr>
            <w:tcW w:type="dxa" w:w="2340"/>
          </w:tcPr>
          <w:p>
            <w:pPr>
              <w:bidi w:val="1"/>
              <w:jc w:val="right"/>
            </w:pPr>
            <w:r>
              <w:rPr>
                <w:rFonts w:ascii="David" w:hAnsi="David" w:cs="David"/>
                <w:b w:val="0"/>
                <w:noProof/>
                <w:color w:val="000000"/>
                <w:sz w:val="22"/>
                <w:szCs w:val="22"/>
                <w:rtl/>
              </w:rPr>
              <w:t>חלוקת משאב תשומת הלב הרגשית</w:t>
            </w:r>
          </w:p>
        </w:tc>
        <w:tc>
          <w:tcPr>
            <w:tcW w:type="dxa" w:w="2340"/>
          </w:tcPr>
          <w:p>
            <w:pPr>
              <w:bidi w:val="1"/>
              <w:jc w:val="right"/>
            </w:pPr>
            <w:r>
              <w:rPr>
                <w:rFonts w:ascii="David" w:hAnsi="David" w:cs="David"/>
                <w:b w:val="0"/>
                <w:noProof/>
                <w:color w:val="000000"/>
                <w:sz w:val="22"/>
                <w:szCs w:val="22"/>
                <w:rtl/>
              </w:rPr>
              <w:t>חלוקה לפי עיקרון הצורך; הילד השקט והעוול הסמוי; שיטתיות ומודעות בחלוקת הקשב</w:t>
            </w:r>
          </w:p>
        </w:tc>
        <w:tc>
          <w:tcPr>
            <w:tcW w:type="dxa" w:w="2340"/>
          </w:tcPr>
          <w:p>
            <w:pPr>
              <w:bidi w:val="1"/>
              <w:jc w:val="right"/>
            </w:pPr>
            <w:r>
              <w:rPr>
                <w:rFonts w:ascii="David" w:hAnsi="David" w:cs="David"/>
                <w:b w:val="0"/>
                <w:noProof/>
                <w:color w:val="000000"/>
                <w:sz w:val="22"/>
                <w:szCs w:val="22"/>
                <w:rtl/>
              </w:rPr>
              <w:t>"לתת יותר בלי לגזול" (מרואיינת 2); "הילדים הרגועים משלמים מחיר על השקט שלהם" (מרואיינת 3)</w:t>
            </w:r>
          </w:p>
        </w:tc>
        <w:tc>
          <w:tcPr>
            <w:tcW w:type="dxa" w:w="2340"/>
          </w:tcPr>
          <w:p>
            <w:pPr>
              <w:bidi w:val="1"/>
              <w:jc w:val="right"/>
            </w:pPr>
            <w:r>
              <w:rPr>
                <w:rFonts w:ascii="David" w:hAnsi="David" w:cs="David"/>
                <w:b w:val="0"/>
                <w:noProof/>
                <w:color w:val="000000"/>
                <w:sz w:val="22"/>
                <w:szCs w:val="22"/>
                <w:rtl/>
              </w:rPr>
              <w:t>Deutsch (1985); Jiang ואחרים (2018); קרמרסקי ורש (2004)</w:t>
            </w:r>
          </w:p>
        </w:tc>
      </w:tr>
      <w:tr>
        <w:tc>
          <w:tcPr>
            <w:tcW w:type="dxa" w:w="2340"/>
          </w:tcPr>
          <w:p>
            <w:pPr>
              <w:bidi w:val="1"/>
              <w:jc w:val="right"/>
            </w:pPr>
            <w:r>
              <w:rPr>
                <w:rFonts w:ascii="David" w:hAnsi="David" w:cs="David"/>
                <w:b w:val="0"/>
                <w:noProof/>
                <w:color w:val="000000"/>
                <w:sz w:val="22"/>
                <w:szCs w:val="22"/>
                <w:rtl/>
              </w:rPr>
              <w:t>ההבחנה בין חלוקה שווה לחלוקה הוגנת</w:t>
            </w:r>
          </w:p>
        </w:tc>
        <w:tc>
          <w:tcPr>
            <w:tcW w:type="dxa" w:w="2340"/>
          </w:tcPr>
          <w:p>
            <w:pPr>
              <w:bidi w:val="1"/>
              <w:jc w:val="right"/>
            </w:pPr>
            <w:r>
              <w:rPr>
                <w:rFonts w:ascii="David" w:hAnsi="David" w:cs="David"/>
                <w:b w:val="0"/>
                <w:noProof/>
                <w:color w:val="000000"/>
                <w:sz w:val="22"/>
                <w:szCs w:val="22"/>
                <w:rtl/>
              </w:rPr>
              <w:t>ההבחנה העקרונית ויישומיה; הנחלת ההבחנה לילדים</w:t>
            </w:r>
          </w:p>
        </w:tc>
        <w:tc>
          <w:tcPr>
            <w:tcW w:type="dxa" w:w="2340"/>
          </w:tcPr>
          <w:p>
            <w:pPr>
              <w:bidi w:val="1"/>
              <w:jc w:val="right"/>
            </w:pPr>
            <w:r>
              <w:rPr>
                <w:rFonts w:ascii="David" w:hAnsi="David" w:cs="David"/>
                <w:b w:val="0"/>
                <w:noProof/>
                <w:color w:val="000000"/>
                <w:sz w:val="22"/>
                <w:szCs w:val="22"/>
                <w:rtl/>
              </w:rPr>
              <w:t>"חלוקה הוגנת זה לתת את המעילים למי שאין לו" (מרואיינת 6); "תן לו עוד ארגז" (מרואיינת 3)</w:t>
            </w:r>
          </w:p>
        </w:tc>
        <w:tc>
          <w:tcPr>
            <w:tcW w:type="dxa" w:w="2340"/>
          </w:tcPr>
          <w:p>
            <w:pPr>
              <w:bidi w:val="1"/>
              <w:jc w:val="right"/>
            </w:pPr>
            <w:r>
              <w:rPr>
                <w:rFonts w:ascii="David" w:hAnsi="David" w:cs="David"/>
                <w:b w:val="0"/>
                <w:noProof/>
                <w:color w:val="000000"/>
                <w:sz w:val="22"/>
                <w:szCs w:val="22"/>
                <w:rtl/>
              </w:rPr>
              <w:t>דהאן (2010); Grütter ואחרים (2024); Elenbaas &amp; Mistry (2021)</w:t>
            </w:r>
          </w:p>
        </w:tc>
      </w:tr>
      <w:tr>
        <w:tc>
          <w:tcPr>
            <w:tcW w:type="dxa" w:w="2340"/>
          </w:tcPr>
          <w:p>
            <w:pPr>
              <w:bidi w:val="1"/>
              <w:jc w:val="right"/>
            </w:pPr>
            <w:r>
              <w:rPr>
                <w:rFonts w:ascii="David" w:hAnsi="David" w:cs="David"/>
                <w:b w:val="0"/>
                <w:noProof/>
                <w:color w:val="000000"/>
                <w:sz w:val="22"/>
                <w:szCs w:val="22"/>
                <w:rtl/>
              </w:rPr>
              <w:t>חלוקת המשאבים הפיזיים והמרחב הקבוצתי</w:t>
            </w:r>
          </w:p>
        </w:tc>
        <w:tc>
          <w:tcPr>
            <w:tcW w:type="dxa" w:w="2340"/>
          </w:tcPr>
          <w:p>
            <w:pPr>
              <w:bidi w:val="1"/>
              <w:jc w:val="right"/>
            </w:pPr>
            <w:r>
              <w:rPr>
                <w:rFonts w:ascii="David" w:hAnsi="David" w:cs="David"/>
                <w:b w:val="0"/>
                <w:noProof/>
                <w:color w:val="000000"/>
                <w:sz w:val="22"/>
                <w:szCs w:val="22"/>
                <w:rtl/>
              </w:rPr>
              <w:t>שקיפות, תור וצפיות; הכלל הגלוי והשתתפות הילדים; איזון המרחב והתמודדות עם הדרה</w:t>
            </w:r>
          </w:p>
        </w:tc>
        <w:tc>
          <w:tcPr>
            <w:tcW w:type="dxa" w:w="2340"/>
          </w:tcPr>
          <w:p>
            <w:pPr>
              <w:bidi w:val="1"/>
              <w:jc w:val="right"/>
            </w:pPr>
            <w:r>
              <w:rPr>
                <w:rFonts w:ascii="David" w:hAnsi="David" w:cs="David"/>
                <w:b w:val="0"/>
                <w:noProof/>
                <w:color w:val="000000"/>
                <w:sz w:val="22"/>
                <w:szCs w:val="22"/>
                <w:rtl/>
              </w:rPr>
              <w:t>"ברגע שהוא רואה את השם שלו על הלוח, הוא רגוע" (מרואיינת 2); "זה לא אני שמחליטה, זה הטיימר" (מרואיינת 3)</w:t>
            </w:r>
          </w:p>
        </w:tc>
        <w:tc>
          <w:tcPr>
            <w:tcW w:type="dxa" w:w="2340"/>
          </w:tcPr>
          <w:p>
            <w:pPr>
              <w:bidi w:val="1"/>
              <w:jc w:val="right"/>
            </w:pPr>
            <w:r>
              <w:rPr>
                <w:rFonts w:ascii="David" w:hAnsi="David" w:cs="David"/>
                <w:b w:val="0"/>
                <w:noProof/>
                <w:color w:val="000000"/>
                <w:sz w:val="22"/>
                <w:szCs w:val="22"/>
                <w:rtl/>
              </w:rPr>
              <w:t>Jiang ואחרים (2018); Lee ואחרים (2022); Lang ואחרים (2024)</w:t>
            </w:r>
          </w:p>
        </w:tc>
      </w:tr>
      <w:tr>
        <w:tc>
          <w:tcPr>
            <w:tcW w:type="dxa" w:w="2340"/>
          </w:tcPr>
          <w:p>
            <w:pPr>
              <w:bidi w:val="1"/>
              <w:jc w:val="right"/>
            </w:pPr>
            <w:r>
              <w:rPr>
                <w:rFonts w:ascii="David" w:hAnsi="David" w:cs="David"/>
                <w:b w:val="0"/>
                <w:noProof/>
                <w:color w:val="000000"/>
                <w:sz w:val="22"/>
                <w:szCs w:val="22"/>
                <w:rtl/>
              </w:rPr>
              <w:t>צדק חברתי-כלכלי ומניעת בושה</w:t>
            </w:r>
          </w:p>
        </w:tc>
        <w:tc>
          <w:tcPr>
            <w:tcW w:type="dxa" w:w="2340"/>
          </w:tcPr>
          <w:p>
            <w:pPr>
              <w:bidi w:val="1"/>
              <w:jc w:val="right"/>
            </w:pPr>
            <w:r>
              <w:rPr>
                <w:rFonts w:ascii="David" w:hAnsi="David" w:cs="David"/>
                <w:b w:val="0"/>
                <w:noProof/>
                <w:color w:val="000000"/>
                <w:sz w:val="22"/>
                <w:szCs w:val="22"/>
                <w:rtl/>
              </w:rPr>
              <w:t>מניעת בושה כערך מארגן; הגן כמרחב מתקן</w:t>
            </w:r>
          </w:p>
        </w:tc>
        <w:tc>
          <w:tcPr>
            <w:tcW w:type="dxa" w:w="2340"/>
          </w:tcPr>
          <w:p>
            <w:pPr>
              <w:bidi w:val="1"/>
              <w:jc w:val="right"/>
            </w:pPr>
            <w:r>
              <w:rPr>
                <w:rFonts w:ascii="David" w:hAnsi="David" w:cs="David"/>
                <w:b w:val="0"/>
                <w:noProof/>
                <w:color w:val="000000"/>
                <w:sz w:val="22"/>
                <w:szCs w:val="22"/>
                <w:rtl/>
              </w:rPr>
              <w:t>"מי כאן עלול להתבייש היום" (מרואיינת 4); "אני מביאה את העולם אל תוך הגן" (מרואיינת 6)</w:t>
            </w:r>
          </w:p>
        </w:tc>
        <w:tc>
          <w:tcPr>
            <w:tcW w:type="dxa" w:w="2340"/>
          </w:tcPr>
          <w:p>
            <w:pPr>
              <w:bidi w:val="1"/>
              <w:jc w:val="right"/>
            </w:pPr>
            <w:r>
              <w:rPr>
                <w:rFonts w:ascii="David" w:hAnsi="David" w:cs="David"/>
                <w:b w:val="0"/>
                <w:noProof/>
                <w:color w:val="000000"/>
                <w:sz w:val="22"/>
                <w:szCs w:val="22"/>
                <w:rtl/>
              </w:rPr>
              <w:t>אדלר ובלס (2009); משרד החינוך (2010); Elenbaas &amp; Mistry (2021)</w:t>
            </w:r>
          </w:p>
        </w:tc>
      </w:tr>
      <w:tr>
        <w:tc>
          <w:tcPr>
            <w:tcW w:type="dxa" w:w="2340"/>
          </w:tcPr>
          <w:p>
            <w:pPr>
              <w:bidi w:val="1"/>
              <w:jc w:val="right"/>
            </w:pPr>
            <w:r>
              <w:rPr>
                <w:rFonts w:ascii="David" w:hAnsi="David" w:cs="David"/>
                <w:b w:val="0"/>
                <w:noProof/>
                <w:color w:val="000000"/>
                <w:sz w:val="22"/>
                <w:szCs w:val="22"/>
                <w:rtl/>
              </w:rPr>
              <w:t>הגננת כסוכנת צדק וכמחנכת ערכים</w:t>
            </w:r>
          </w:p>
        </w:tc>
        <w:tc>
          <w:tcPr>
            <w:tcW w:type="dxa" w:w="2340"/>
          </w:tcPr>
          <w:p>
            <w:pPr>
              <w:bidi w:val="1"/>
              <w:jc w:val="right"/>
            </w:pPr>
            <w:r>
              <w:rPr>
                <w:rFonts w:ascii="David" w:hAnsi="David" w:cs="David"/>
                <w:b w:val="0"/>
                <w:noProof/>
                <w:color w:val="000000"/>
                <w:sz w:val="22"/>
                <w:szCs w:val="22"/>
                <w:rtl/>
              </w:rPr>
              <w:t>דוגמה אישית כדרך המלך; שליחות, ותק ושונות בין הגננות</w:t>
            </w:r>
          </w:p>
        </w:tc>
        <w:tc>
          <w:tcPr>
            <w:tcW w:type="dxa" w:w="2340"/>
          </w:tcPr>
          <w:p>
            <w:pPr>
              <w:bidi w:val="1"/>
              <w:jc w:val="right"/>
            </w:pPr>
            <w:r>
              <w:rPr>
                <w:rFonts w:ascii="David" w:hAnsi="David" w:cs="David"/>
                <w:b w:val="0"/>
                <w:noProof/>
                <w:color w:val="000000"/>
                <w:sz w:val="22"/>
                <w:szCs w:val="22"/>
                <w:rtl/>
              </w:rPr>
              <w:t>"ילדים לומדים צדק מדוגמה אישית, לא מהטפה" (מרואיינת 1); "זה לא מקצוע, זו שליחות" (מרואיינת 6)</w:t>
            </w:r>
          </w:p>
        </w:tc>
        <w:tc>
          <w:tcPr>
            <w:tcW w:type="dxa" w:w="2340"/>
          </w:tcPr>
          <w:p>
            <w:pPr>
              <w:bidi w:val="1"/>
              <w:jc w:val="right"/>
            </w:pPr>
            <w:r>
              <w:rPr>
                <w:rFonts w:ascii="David" w:hAnsi="David" w:cs="David"/>
                <w:b w:val="0"/>
                <w:noProof/>
                <w:color w:val="000000"/>
                <w:sz w:val="22"/>
                <w:szCs w:val="22"/>
                <w:rtl/>
              </w:rPr>
              <w:t>Solehuddin &amp; Adriany (2017); מכללת סמינר הקיבוצים (2018); Ryan &amp; Grieshaber (2024)</w:t>
            </w:r>
          </w:p>
        </w:tc>
      </w:tr>
      <w:tr>
        <w:tc>
          <w:tcPr>
            <w:tcW w:type="dxa" w:w="2340"/>
          </w:tcPr>
          <w:p>
            <w:pPr>
              <w:bidi w:val="1"/>
              <w:jc w:val="right"/>
            </w:pPr>
            <w:r>
              <w:rPr>
                <w:rFonts w:ascii="David" w:hAnsi="David" w:cs="David"/>
                <w:b w:val="0"/>
                <w:noProof/>
                <w:color w:val="000000"/>
                <w:sz w:val="22"/>
                <w:szCs w:val="22"/>
                <w:rtl/>
              </w:rPr>
              <w:t>צדק ביחסי גננת-הורים</w:t>
            </w:r>
          </w:p>
        </w:tc>
        <w:tc>
          <w:tcPr>
            <w:tcW w:type="dxa" w:w="2340"/>
          </w:tcPr>
          <w:p>
            <w:pPr>
              <w:bidi w:val="1"/>
              <w:jc w:val="right"/>
            </w:pPr>
            <w:r>
              <w:rPr>
                <w:rFonts w:ascii="David" w:hAnsi="David" w:cs="David"/>
                <w:b w:val="0"/>
                <w:noProof/>
                <w:color w:val="000000"/>
                <w:sz w:val="22"/>
                <w:szCs w:val="22"/>
                <w:rtl/>
              </w:rPr>
              <w:t>התמודדות עם דרישות ליחס מועדף; שיתוף הורים ושקיפות</w:t>
            </w:r>
          </w:p>
        </w:tc>
        <w:tc>
          <w:tcPr>
            <w:tcW w:type="dxa" w:w="2340"/>
          </w:tcPr>
          <w:p>
            <w:pPr>
              <w:bidi w:val="1"/>
              <w:jc w:val="right"/>
            </w:pPr>
            <w:r>
              <w:rPr>
                <w:rFonts w:ascii="David" w:hAnsi="David" w:cs="David"/>
                <w:b w:val="0"/>
                <w:noProof/>
                <w:color w:val="000000"/>
                <w:sz w:val="22"/>
                <w:szCs w:val="22"/>
                <w:rtl/>
              </w:rPr>
              <w:t>"אני רוצה שהבן שלי יישב תמיד קרוב אלייך" (דברי אם, מרואיינת 1); "אני משתפת הורים, בעיקר דרך מעשים ולא הרצאות" (מרואיינת 2)</w:t>
            </w:r>
          </w:p>
        </w:tc>
        <w:tc>
          <w:tcPr>
            <w:tcW w:type="dxa" w:w="2340"/>
          </w:tcPr>
          <w:p>
            <w:pPr>
              <w:bidi w:val="1"/>
              <w:jc w:val="right"/>
            </w:pPr>
            <w:r>
              <w:rPr>
                <w:rFonts w:ascii="David" w:hAnsi="David" w:cs="David"/>
                <w:b w:val="0"/>
                <w:noProof/>
                <w:color w:val="000000"/>
                <w:sz w:val="22"/>
                <w:szCs w:val="22"/>
                <w:rtl/>
              </w:rPr>
              <w:t>אדרי (2021); לוי ואחרים (2023); מכללת סמינר הקיבוצים (2018)</w:t>
            </w:r>
          </w:p>
        </w:tc>
      </w:tr>
    </w:tbl>
    <w:p>
      <w:pPr>
        <w:bidi w:val="1"/>
      </w:pPr>
    </w:p>
    <w:p>
      <w:pPr>
        <w:bidi w:val="1"/>
        <w:pStyle w:val="Heading2"/>
        <w:bidi w:val="1"/>
        <w:spacing w:line="360" w:lineRule="auto" w:before="280" w:after="160"/>
        <w:jc w:val="both"/>
      </w:pPr>
      <w:r>
        <w:rPr>
          <w:rFonts w:ascii="David" w:hAnsi="David" w:cs="David"/>
          <w:b/>
          <w:noProof/>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noProof/>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noProof/>
          <w:color w:val="000000"/>
          <w:sz w:val="28"/>
          <w:szCs w:val="28"/>
          <w:rtl w:val="1"/>
        </w:rPr>
        <w:t>ראיון 1: שירה כהן</w:t>
      </w:r>
    </w:p>
    <w:p>
      <w:pPr>
        <w:bidi w:val="1"/>
        <w:spacing w:line="360" w:lineRule="auto" w:before="0" w:after="160"/>
        <w:jc w:val="center"/>
      </w:pPr>
      <w:r>
        <w:rPr>
          <w:rFonts w:ascii="David" w:hAnsi="David" w:cs="David"/>
          <w:b w:val="0"/>
          <w:noProof/>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שירה: </w:t>
      </w:r>
      <w:r>
        <w:rPr>
          <w:rFonts w:ascii="David" w:hAnsi="David" w:cs="David"/>
          <w:noProof/>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2: רבקה לוי</w:t>
      </w:r>
    </w:p>
    <w:p>
      <w:pPr>
        <w:bidi w:val="1"/>
        <w:spacing w:line="360" w:lineRule="auto" w:before="0" w:after="160"/>
        <w:jc w:val="center"/>
      </w:pPr>
      <w:r>
        <w:rPr>
          <w:rFonts w:ascii="David" w:hAnsi="David" w:cs="David"/>
          <w:b w:val="0"/>
          <w:noProof/>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רבקה: </w:t>
      </w:r>
      <w:r>
        <w:rPr>
          <w:rFonts w:ascii="David" w:hAnsi="David" w:cs="David"/>
          <w:noProof/>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3: יעל אברהם</w:t>
      </w:r>
    </w:p>
    <w:p>
      <w:pPr>
        <w:bidi w:val="1"/>
        <w:spacing w:line="360" w:lineRule="auto" w:before="0" w:after="160"/>
        <w:jc w:val="center"/>
      </w:pPr>
      <w:r>
        <w:rPr>
          <w:rFonts w:ascii="David" w:hAnsi="David" w:cs="David"/>
          <w:b w:val="0"/>
          <w:noProof/>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יעל: </w:t>
      </w:r>
      <w:r>
        <w:rPr>
          <w:rFonts w:ascii="David" w:hAnsi="David" w:cs="David"/>
          <w:noProof/>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4: תמר פרידמן</w:t>
      </w:r>
    </w:p>
    <w:p>
      <w:pPr>
        <w:bidi w:val="1"/>
        <w:spacing w:line="360" w:lineRule="auto" w:before="0" w:after="160"/>
        <w:jc w:val="center"/>
      </w:pPr>
      <w:r>
        <w:rPr>
          <w:rFonts w:ascii="David" w:hAnsi="David" w:cs="David"/>
          <w:b w:val="0"/>
          <w:noProof/>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תמר: </w:t>
      </w:r>
      <w:r>
        <w:rPr>
          <w:rFonts w:ascii="David" w:hAnsi="David" w:cs="David"/>
          <w:noProof/>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5: נעמה בן-דוד</w:t>
      </w:r>
    </w:p>
    <w:p>
      <w:pPr>
        <w:bidi w:val="1"/>
        <w:spacing w:line="360" w:lineRule="auto" w:before="0" w:after="160"/>
        <w:jc w:val="center"/>
      </w:pPr>
      <w:r>
        <w:rPr>
          <w:rFonts w:ascii="David" w:hAnsi="David" w:cs="David"/>
          <w:b w:val="0"/>
          <w:noProof/>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נעמה: </w:t>
      </w:r>
      <w:r>
        <w:rPr>
          <w:rFonts w:ascii="David" w:hAnsi="David" w:cs="David"/>
          <w:noProof/>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noProof/>
          <w:color w:val="000000"/>
        </w:rPr>
        <w:br w:type="page"/>
      </w:r>
    </w:p>
    <w:p>
      <w:pPr>
        <w:bidi w:val="1"/>
        <w:spacing w:line="360" w:lineRule="auto" w:before="0" w:after="80"/>
        <w:jc w:val="center"/>
      </w:pPr>
      <w:r>
        <w:rPr>
          <w:rFonts w:ascii="David" w:hAnsi="David" w:cs="David"/>
          <w:b/>
          <w:noProof/>
          <w:color w:val="000000"/>
          <w:sz w:val="28"/>
          <w:szCs w:val="28"/>
          <w:rtl w:val="1"/>
        </w:rPr>
        <w:t>ראיון 6: אסתר מזרחי</w:t>
      </w:r>
    </w:p>
    <w:p>
      <w:pPr>
        <w:bidi w:val="1"/>
        <w:spacing w:line="360" w:lineRule="auto" w:before="0" w:after="160"/>
        <w:jc w:val="center"/>
      </w:pPr>
      <w:r>
        <w:rPr>
          <w:rFonts w:ascii="David" w:hAnsi="David" w:cs="David"/>
          <w:b w:val="0"/>
          <w:noProof/>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איזה גיל וקבוצה את מלמדת היום, וכמה ילדים בגן?</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noProof/>
          <w:color w:val="000000"/>
          <w:szCs w:val="24"/>
          <w:rtl w:val="1"/>
        </w:rPr>
        <w:t xml:space="preserve">מיטל: </w:t>
      </w:r>
      <w:r>
        <w:rPr>
          <w:rFonts w:ascii="David" w:hAnsi="David" w:cs="David"/>
          <w:noProof/>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noProof/>
          <w:color w:val="000000"/>
          <w:szCs w:val="24"/>
          <w:rtl w:val="1"/>
        </w:rPr>
        <w:t xml:space="preserve">אסתר: </w:t>
      </w:r>
      <w:r>
        <w:rPr>
          <w:rFonts w:ascii="David" w:hAnsi="David" w:cs="David"/>
          <w:noProof/>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noProof/>
          <w:color w:val="000000"/>
        </w:rPr>
        <w:br w:type="page"/>
      </w:r>
    </w:p>
    <w:p>
      <w:pPr>
        <w:bidi w:val="1"/>
        <w:pStyle w:val="Heading2"/>
        <w:bidi w:val="1"/>
        <w:spacing w:line="360" w:lineRule="auto" w:before="280" w:after="160"/>
        <w:jc w:val="both"/>
      </w:pPr>
      <w:r>
        <w:rPr>
          <w:rFonts w:ascii="David" w:hAnsi="David" w:cs="David"/>
          <w:b/>
          <w:noProof/>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noProof/>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noProof/>
          <w:color w:val="000000"/>
          <w:sz w:val="24"/>
          <w:szCs w:val="24"/>
          <w:rtl w:val="1"/>
        </w:rPr>
        <w:t>שם הסטודנטית: מיטל נאורי</w:t>
      </w:r>
    </w:p>
    <w:p>
      <w:pPr>
        <w:bidi w:val="1"/>
        <w:spacing w:line="360" w:lineRule="auto" w:before="0" w:after="160"/>
        <w:jc w:val="both"/>
      </w:pPr>
      <w:r>
        <w:rPr>
          <w:rFonts w:ascii="David" w:hAnsi="David" w:cs="David"/>
          <w:b w:val="0"/>
          <w:noProof/>
          <w:color w:val="000000"/>
          <w:sz w:val="24"/>
          <w:szCs w:val="24"/>
          <w:rtl w:val="1"/>
        </w:rPr>
        <w:t>ת"ז: 206661779</w:t>
      </w:r>
    </w:p>
    <w:p>
      <w:pPr>
        <w:bidi w:val="1"/>
        <w:spacing w:line="360" w:lineRule="auto" w:before="0" w:after="160"/>
        <w:jc w:val="both"/>
      </w:pPr>
      <w:r>
        <w:rPr>
          <w:rFonts w:ascii="David" w:hAnsi="David" w:cs="David"/>
          <w:b w:val="0"/>
          <w:noProof/>
          <w:color w:val="000000"/>
          <w:sz w:val="24"/>
          <w:szCs w:val="24"/>
          <w:rtl w:val="1"/>
        </w:rPr>
        <w:t>שם הקורס: סמינריון צדק בכיתה</w:t>
      </w:r>
    </w:p>
    <w:p>
      <w:pPr>
        <w:bidi w:val="1"/>
        <w:spacing w:line="360" w:lineRule="auto" w:before="0" w:after="160"/>
        <w:jc w:val="both"/>
      </w:pPr>
      <w:r>
        <w:rPr>
          <w:rFonts w:ascii="David" w:hAnsi="David" w:cs="David"/>
          <w:b w:val="0"/>
          <w:noProof/>
          <w:color w:val="000000"/>
          <w:sz w:val="24"/>
          <w:szCs w:val="24"/>
          <w:rtl w:val="1"/>
        </w:rPr>
        <w:t>שם המרצה: ד"ר ליאת ביברמן-שלו</w:t>
      </w:r>
    </w:p>
    <w:p>
      <w:pPr>
        <w:bidi w:val="1"/>
        <w:spacing w:line="360" w:lineRule="auto" w:before="0" w:after="160"/>
        <w:jc w:val="both"/>
      </w:pPr>
      <w:r>
        <w:rPr>
          <w:rFonts w:ascii="David" w:hAnsi="David" w:cs="David"/>
          <w:b w:val="0"/>
          <w:noProof/>
          <w:color w:val="000000"/>
          <w:sz w:val="24"/>
          <w:szCs w:val="24"/>
          <w:rtl w:val="1"/>
        </w:rPr>
        <w:t>תאריך: ______________          חתימה: ______________</w:t>
      </w:r>
    </w:p>
    <w:sectPr w:rsidR="00FC693F" w:rsidRPr="0006063C" w:rsidSect="00034616">
      <w:bidi/>
      <w:footerReference w:type="default" r:id="rId10"/>
      <w:headerReference w:type="default" r:id="rId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noProof/>
        <w:color w:val="000000"/>
        <w:sz w:val="24"/>
        <w:szCs w:val="24"/>
        <w:rtl w:val="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