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line="360" w:lineRule="auto" w:after="40" w:before="0"/>
        <w:jc w:val="center"/>
      </w:pPr>
      <w:r>
        <w:rPr>
          <w:rFonts w:ascii="David" w:hAnsi="David" w:cs="David"/>
          <w:b/>
          <w:sz w:val="24"/>
          <w:szCs w:val="24"/>
          <w:rtl w:val="1"/>
          <w:bCs/>
        </w:rPr>
        <w:t>המסלול האקדמי, המכללה למנהל</w:t>
      </w:r>
    </w:p>
    <w:p>
      <w:pPr>
        <w:bidi/>
        <w:spacing w:line="360" w:lineRule="auto" w:after="40" w:before="0"/>
        <w:jc w:val="center"/>
      </w:pPr>
      <w:r>
        <w:rPr>
          <w:rFonts w:ascii="David" w:hAnsi="David" w:cs="David"/>
          <w:b w:val="0"/>
          <w:sz w:val="24"/>
          <w:szCs w:val="24"/>
          <w:rtl w:val="1"/>
        </w:rPr>
        <w:t>בית הספר לחינוך</w:t>
      </w:r>
    </w:p>
    <w:p>
      <w:pPr>
        <w:bidi/>
        <w:spacing w:line="360" w:lineRule="auto" w:after="40" w:before="0"/>
        <w:jc w:val="center"/>
      </w:pPr>
      <w:r>
        <w:rPr>
          <w:rFonts w:ascii="David" w:hAnsi="David" w:cs="David"/>
          <w:b w:val="0"/>
          <w:sz w:val="24"/>
          <w:szCs w:val="24"/>
          <w:rtl w:val="1"/>
        </w:rPr>
        <w:t>הקורס: כתיבה ואוריינות אקדמית ב'</w:t>
      </w:r>
    </w:p>
    <w:p>
      <w:pPr>
        <w:bidi/>
        <w:spacing w:line="360" w:lineRule="auto" w:after="40" w:before="0"/>
        <w:jc w:val="center"/>
      </w:pPr>
      <w:r>
        <w:rPr>
          <w:rFonts w:ascii="David" w:hAnsi="David" w:cs="David"/>
          <w:b w:val="0"/>
          <w:sz w:val="24"/>
          <w:szCs w:val="24"/>
          <w:rtl w:val="1"/>
        </w:rPr>
        <w:t>מנחה: ד"ר טל יעקבי</w:t>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120" w:before="0"/>
        <w:jc w:val="center"/>
      </w:pPr>
      <w:r>
        <w:rPr>
          <w:rFonts w:ascii="David" w:hAnsi="David" w:cs="David"/>
          <w:b/>
          <w:sz w:val="36"/>
          <w:szCs w:val="36"/>
          <w:rtl w:val="1"/>
          <w:bCs/>
        </w:rPr>
        <w:t>היפגעות מהטרדות ברשתות החברתיות בקרב מתבגרים</w:t>
      </w:r>
    </w:p>
    <w:p>
      <w:pPr>
        <w:bidi/>
        <w:spacing w:line="360" w:lineRule="auto" w:after="120" w:before="0"/>
        <w:jc w:val="center"/>
      </w:pPr>
      <w:r>
        <w:rPr>
          <w:rFonts w:ascii="David" w:hAnsi="David" w:cs="David"/>
          <w:b w:val="0"/>
          <w:sz w:val="26"/>
          <w:szCs w:val="26"/>
          <w:rtl w:val="1"/>
        </w:rPr>
        <w:t>מהו היקף ההיפגעות מהטרדות ברשתות החברתיות בקרב מתבגרים, וכיצד היא קשורה לבדידות, למסוגלות החברתית ולתמיכה החברתית?</w:t>
      </w:r>
    </w:p>
    <w:p>
      <w:pPr>
        <w:bidi/>
        <w:spacing w:line="360" w:lineRule="auto" w:after="120" w:before="0"/>
        <w:jc w:val="center"/>
      </w:pPr>
      <w:r>
        <w:rPr>
          <w:rFonts w:ascii="David" w:hAnsi="David" w:cs="David"/>
          <w:b w:val="0"/>
          <w:sz w:val="24"/>
          <w:szCs w:val="24"/>
          <w:rtl w:val="1"/>
        </w:rPr>
        <w:t>מאמר תיאורטי קצר</w:t>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80" w:before="0"/>
        <w:jc w:val="center"/>
      </w:pPr>
      <w:r>
        <w:rPr>
          <w:rFonts w:ascii="David" w:hAnsi="David" w:cs="David"/>
          <w:b w:val="0"/>
          <w:sz w:val="24"/>
          <w:szCs w:val="24"/>
          <w:rtl w:val="1"/>
        </w:rPr>
        <w:t>מגיש/ה: ______________________     ת"ז: ______________</w:t>
      </w:r>
    </w:p>
    <w:p>
      <w:pPr>
        <w:bidi/>
        <w:spacing w:line="360" w:lineRule="auto" w:after="80" w:before="0"/>
        <w:jc w:val="center"/>
      </w:pPr>
      <w:r>
        <w:rPr>
          <w:rFonts w:ascii="David" w:hAnsi="David" w:cs="David"/>
          <w:b w:val="0"/>
          <w:sz w:val="24"/>
          <w:szCs w:val="24"/>
          <w:rtl w:val="1"/>
        </w:rPr>
        <w:t>תאריך הגשה: 1 באוגוסט 2026</w:t>
      </w:r>
    </w:p>
    <w:p>
      <w:r>
        <w:br w:type="page"/>
      </w:r>
    </w:p>
    <w:p>
      <w:pPr>
        <w:bidi/>
        <w:spacing w:line="360" w:lineRule="auto" w:after="200" w:before="120"/>
        <w:jc w:val="right"/>
      </w:pPr>
      <w:r>
        <w:rPr>
          <w:rFonts w:ascii="David" w:hAnsi="David" w:cs="David"/>
          <w:b/>
          <w:sz w:val="28"/>
          <w:szCs w:val="28"/>
          <w:rtl w:val="1"/>
          <w:bCs/>
        </w:rPr>
        <w:t>תוכן עניינים</w:t>
      </w:r>
    </w:p>
    <w:p>
      <w:pPr>
        <w:tabs>
          <w:tab w:pos="8787" w:val="left" w:leader="dot"/>
        </w:tabs>
        <w:bidi/>
        <w:spacing w:line="360" w:lineRule="auto" w:after="120"/>
      </w:pPr>
      <w:r>
        <w:rPr>
          <w:rFonts w:ascii="David" w:hAnsi="David" w:cs="David"/>
          <w:b w:val="0"/>
          <w:sz w:val="24"/>
          <w:szCs w:val="24"/>
          <w:rtl w:val="1"/>
        </w:rPr>
        <w:t>מבוא</w:t>
        <w:tab/>
        <w:t>3</w:t>
      </w:r>
    </w:p>
    <w:p>
      <w:pPr>
        <w:tabs>
          <w:tab w:pos="8787" w:val="left" w:leader="dot"/>
        </w:tabs>
        <w:bidi/>
        <w:spacing w:line="360" w:lineRule="auto" w:after="120"/>
      </w:pPr>
      <w:r>
        <w:rPr>
          <w:rFonts w:ascii="David" w:hAnsi="David" w:cs="David"/>
          <w:b w:val="0"/>
          <w:sz w:val="24"/>
          <w:szCs w:val="24"/>
          <w:rtl w:val="1"/>
        </w:rPr>
        <w:t>סקירת ספרות</w:t>
        <w:tab/>
        <w:t>3</w:t>
      </w:r>
    </w:p>
    <w:p>
      <w:pPr>
        <w:tabs>
          <w:tab w:pos="8787" w:val="left" w:leader="dot"/>
        </w:tabs>
        <w:bidi/>
        <w:spacing w:line="360" w:lineRule="auto" w:after="120"/>
      </w:pPr>
      <w:r>
        <w:rPr>
          <w:rFonts w:ascii="David" w:hAnsi="David" w:cs="David"/>
          <w:b w:val="0"/>
          <w:sz w:val="24"/>
          <w:szCs w:val="24"/>
          <w:rtl w:val="1"/>
        </w:rPr>
        <w:t>דיון, סיכום ומסקנות</w:t>
        <w:tab/>
        <w:t>4</w:t>
      </w:r>
    </w:p>
    <w:p>
      <w:pPr>
        <w:tabs>
          <w:tab w:pos="8787" w:val="left" w:leader="dot"/>
        </w:tabs>
        <w:bidi/>
        <w:spacing w:line="360" w:lineRule="auto" w:after="120"/>
      </w:pPr>
      <w:r>
        <w:rPr>
          <w:rFonts w:ascii="David" w:hAnsi="David" w:cs="David"/>
          <w:b w:val="0"/>
          <w:sz w:val="24"/>
          <w:szCs w:val="24"/>
          <w:rtl w:val="1"/>
        </w:rPr>
        <w:t>רשימת מקורות</w:t>
        <w:tab/>
        <w:t>5</w:t>
      </w:r>
    </w:p>
    <w:p>
      <w:pPr>
        <w:tabs>
          <w:tab w:pos="8787" w:val="left" w:leader="dot"/>
        </w:tabs>
        <w:bidi/>
        <w:spacing w:line="360" w:lineRule="auto" w:after="120"/>
      </w:pPr>
      <w:r>
        <w:rPr>
          <w:rFonts w:ascii="David" w:hAnsi="David" w:cs="David"/>
          <w:b w:val="0"/>
          <w:sz w:val="24"/>
          <w:szCs w:val="24"/>
          <w:rtl w:val="1"/>
        </w:rPr>
        <w:t>נספח: סיכום מאמר</w:t>
        <w:tab/>
        <w:t>6</w:t>
      </w:r>
    </w:p>
    <w:p>
      <w:r>
        <w:br w:type="page"/>
      </w:r>
    </w:p>
    <w:p>
      <w:pPr>
        <w:bidi/>
        <w:spacing w:line="360" w:lineRule="auto" w:after="120" w:before="120"/>
        <w:jc w:val="right"/>
      </w:pPr>
      <w:r>
        <w:rPr>
          <w:rFonts w:ascii="David" w:hAnsi="David" w:cs="David"/>
          <w:b/>
          <w:sz w:val="26"/>
          <w:szCs w:val="26"/>
          <w:rtl w:val="1"/>
          <w:bCs/>
        </w:rPr>
        <w:t>מבוא</w:t>
      </w:r>
    </w:p>
    <w:p>
      <w:pPr>
        <w:bidi/>
        <w:spacing w:line="360" w:lineRule="auto" w:after="200" w:before="0"/>
        <w:jc w:val="both"/>
      </w:pPr>
      <w:r>
        <w:rPr>
          <w:rFonts w:ascii="David" w:hAnsi="David" w:cs="David"/>
          <w:b w:val="0"/>
          <w:sz w:val="24"/>
          <w:szCs w:val="24"/>
          <w:rtl w:val="1"/>
        </w:rPr>
        <w:t>הרשתות החברתיות הפכו לזירה מרכזית שבה מתבגרים מנהלים חלק ניכר מחייהם החברתיים. לצד ההזדמנויות שהן פותחות, הן חושפות את המשתמשים בהן לפגיעות ולהטרדות בהיקף שלא היה אפשרי בעבר. הטרדה ברשת אינה נעצרת בשערי בית הספר, היא מלווה את המתבגר גם הביתה ואל תוך חדרו. עבודה זו בוחנת את השאלה מהו היקף ההיפגעות מהטרדות ברשתות החברתיות בקרב מתבגרים, וכיצד היא קשורה לבדידות, למסוגלות החברתית ולתמיכה החברתית. הסקירה מתבססת על שלושה מחקרים אמפיריים, ונעה מן התופעה הכללית אל אוכלוסיות בסיכון ואל הגורמים החברתיים-רגשיים הקשורים בה.</w:t>
      </w:r>
    </w:p>
    <w:p>
      <w:pPr>
        <w:bidi/>
        <w:spacing w:line="360" w:lineRule="auto" w:after="120" w:before="120"/>
        <w:jc w:val="right"/>
      </w:pPr>
      <w:r>
        <w:rPr>
          <w:rFonts w:ascii="David" w:hAnsi="David" w:cs="David"/>
          <w:b/>
          <w:sz w:val="26"/>
          <w:szCs w:val="26"/>
          <w:rtl w:val="1"/>
          <w:bCs/>
        </w:rPr>
        <w:t>סקירת ספרות</w:t>
      </w:r>
    </w:p>
    <w:p>
      <w:pPr>
        <w:bidi/>
        <w:spacing w:line="360" w:lineRule="auto" w:after="200" w:before="0"/>
        <w:jc w:val="both"/>
      </w:pPr>
      <w:r>
        <w:rPr>
          <w:rFonts w:ascii="David" w:hAnsi="David" w:cs="David"/>
          <w:b w:val="0"/>
          <w:sz w:val="24"/>
          <w:szCs w:val="24"/>
          <w:rtl w:val="1"/>
        </w:rPr>
        <w:t>הרשתות החברתיות מציעות למתבגרים מרחב לקשרים חברתיים, אך אותו מרחב חושף אותם גם להטרדות ולפגיעות מקוונות. בניגוד לבריונות המסורתית, הפגיעה ברשת אינה מוגבלת בזמן ובמקום ועלולה להימשך מסביב לשעון ולהגיע לקהל רחב. מחקר ישראלי שבחן 181 מתבגרים בגילי 14 עד 16 מצא שבין 42 ל-44 אחוזים מהם חוו הצקות והטרדות ברשת, נתון שממחיש עד כמה התופעה שכיחה בחיי היומיום שלהם (היימן ואולניק-שמש, 2015).</w:t>
      </w:r>
    </w:p>
    <w:p>
      <w:pPr>
        <w:bidi/>
        <w:spacing w:line="360" w:lineRule="auto" w:after="200" w:before="0"/>
        <w:jc w:val="both"/>
      </w:pPr>
      <w:r>
        <w:rPr>
          <w:rFonts w:ascii="David" w:hAnsi="David" w:cs="David"/>
          <w:b w:val="0"/>
          <w:sz w:val="24"/>
          <w:szCs w:val="24"/>
          <w:rtl w:val="1"/>
        </w:rPr>
        <w:t>מעבר להיקף התופעה עולה שאלת השלכותיה. מחקר שבחן מעורבות וקרבנוּת ברשת בקרב תלמידים עם הפרעת קשב וללא ההפרעה מצא שתלמידים עם הפרעת קשב מעורבים יותר בפגיעות מקוונות, ושהיפגעות ברשת קשורה בבדידות גבוהה יותר, במסוגלות עצמית חברתית נמוכה יותר ובתחושת תמיכה חברתית פחותה. הפגיעה ברשת אינה עומדת בפני עצמה אלא שזורה במארג החברתי-רגשי של המתבגר (היימן, אולניק-שמש ועדן, 2014).</w:t>
      </w:r>
    </w:p>
    <w:p>
      <w:pPr>
        <w:bidi/>
        <w:spacing w:line="360" w:lineRule="auto" w:after="200" w:before="0"/>
        <w:jc w:val="both"/>
      </w:pPr>
      <w:r>
        <w:rPr>
          <w:rFonts w:ascii="David" w:hAnsi="David" w:cs="David"/>
          <w:b w:val="0"/>
          <w:sz w:val="24"/>
          <w:szCs w:val="24"/>
          <w:rtl w:val="1"/>
        </w:rPr>
        <w:t>התמונה מתרחבת כשמביאים בחשבון את עוצמת השימוש עצמו. מחקר שנערך בקרב סטודנטים מצא שהתמכרות לרשתות חברתיות קשורה בעלייה בבדידות ובדיכאון ובירידה במסוגלות הלימודית ובהישגים, בעוד כישורי פתרון בעיות ושביעות רצון מהחיים פועלים בכיוון המגן. הבדידות חוזרת אפוא כחוליה מרכזית, הן כמלווה של פגיעה ברשת והן כתוצאה של שימוש מופרז (Aslan &amp; Polat, 2024).</w:t>
      </w:r>
    </w:p>
    <w:p>
      <w:pPr>
        <w:bidi/>
        <w:spacing w:line="360" w:lineRule="auto" w:after="120" w:before="120"/>
        <w:jc w:val="right"/>
      </w:pPr>
      <w:r>
        <w:rPr>
          <w:rFonts w:ascii="David" w:hAnsi="David" w:cs="David"/>
          <w:b/>
          <w:sz w:val="26"/>
          <w:szCs w:val="26"/>
          <w:rtl w:val="1"/>
          <w:bCs/>
        </w:rPr>
        <w:t>דיון, סיכום ומסקנות</w:t>
      </w:r>
    </w:p>
    <w:p>
      <w:pPr>
        <w:bidi/>
        <w:spacing w:line="360" w:lineRule="auto" w:after="200" w:before="0"/>
        <w:jc w:val="both"/>
      </w:pPr>
      <w:r>
        <w:rPr>
          <w:rFonts w:ascii="David" w:hAnsi="David" w:cs="David"/>
          <w:b w:val="0"/>
          <w:sz w:val="24"/>
          <w:szCs w:val="24"/>
          <w:rtl w:val="1"/>
        </w:rPr>
        <w:t>שלושת המחקרים מציירים יחד תמונה שבה הרשתות החברתיות אינן גורם ניטרלי. הן זירה שבה מתבגרים נחשפים להטרדות בהיקף ניכר, ובמיוחד אוכלוסיות בסיכון כמו תלמידים עם לקויות. ההיפגעות אינה מסתכמת ברגע הפגיעה, אלא קשורה בבדידות, במסוגלות חברתית נמוכה ובתמיכה מועטה, ואלה בתורם נקשרים גם לתפקוד הלימודי ולרווחה הנפשית (היימן, אולניק-שמש ועדן, 2014; Aslan &amp; Polat, 2024). מכאן שהמענה החינוכי אינו יכול להסתפק בחסימה טכנית או באיסור. עליו לחזק את המשאבים החברתיים-רגשיים של המתבגר, לזהות מוקדם אוכלוסיות פגיעות, ולפתח מיומנויות התמודדות עם פגיעה ברשת. מחקרים עתידיים ראוי שיבחנו את הקשרים האלה גם בקרב כלל המתבגרים ולאורך זמן, כדי לבסס המלצות מעשיות למורים ולהורים (היימן ואולניק-שמש, 2015).</w:t>
      </w:r>
    </w:p>
    <w:p>
      <w:r>
        <w:br w:type="page"/>
      </w:r>
    </w:p>
    <w:p>
      <w:pPr>
        <w:bidi/>
        <w:spacing w:line="360" w:lineRule="auto" w:after="200" w:before="120"/>
        <w:jc w:val="right"/>
      </w:pPr>
      <w:r>
        <w:rPr>
          <w:rFonts w:ascii="David" w:hAnsi="David" w:cs="David"/>
          <w:b/>
          <w:sz w:val="26"/>
          <w:szCs w:val="26"/>
          <w:rtl w:val="1"/>
          <w:bCs/>
        </w:rPr>
        <w:t>רשימת מקורות</w:t>
      </w:r>
    </w:p>
    <w:p>
      <w:pPr>
        <w:bidi/>
        <w:spacing w:line="360" w:lineRule="auto" w:after="160"/>
        <w:ind w:right="560" w:hanging="560"/>
        <w:jc w:val="both"/>
      </w:pPr>
      <w:r>
        <w:rPr>
          <w:rFonts w:ascii="David" w:hAnsi="David" w:cs="David"/>
          <w:b w:val="0"/>
          <w:sz w:val="24"/>
          <w:szCs w:val="24"/>
          <w:rtl w:val="1"/>
        </w:rPr>
        <w:t>היימן, ט', אולניק-שמש, ד', ועדן, ס' (2014). מעורבות וקרבנוּת ברשת בקרב תלמידים עם הפרעת קשב והיפראקטיביות וללא הפרעה זו והקשר למסוגלות עצמית חברתית, בדידות ותמיכה חברתית. מפגש לעבודה חינוכית-סוציאלית, 39, 93–112.</w:t>
      </w:r>
    </w:p>
    <w:p>
      <w:pPr>
        <w:bidi/>
        <w:spacing w:line="360" w:lineRule="auto" w:after="160"/>
        <w:ind w:right="560" w:hanging="560"/>
        <w:jc w:val="both"/>
      </w:pPr>
      <w:r>
        <w:rPr>
          <w:rFonts w:ascii="David" w:hAnsi="David" w:cs="David"/>
          <w:b w:val="0"/>
          <w:sz w:val="24"/>
          <w:szCs w:val="24"/>
          <w:rtl w:val="1"/>
        </w:rPr>
        <w:t>היימן, ט', ואולניק-שמש, ד' (2015). הקול ברשת או הכול ברשת? פגיעות ועדות להטרדות ברשת של תלמידים עם לקות למידה, הפרעת קשב ולקויות חושיות. עיונים בשפה וחברה, 7(1–2), 88–104.</w:t>
      </w:r>
    </w:p>
    <w:p>
      <w:pPr>
        <w:bidi/>
        <w:spacing w:line="360" w:lineRule="auto" w:after="160"/>
        <w:ind w:left="560" w:hanging="560"/>
        <w:jc w:val="both"/>
      </w:pPr>
      <w:r>
        <w:rPr>
          <w:rFonts w:ascii="David" w:hAnsi="David" w:cs="David"/>
          <w:b w:val="0"/>
          <w:sz w:val="24"/>
          <w:szCs w:val="24"/>
        </w:rPr>
        <w:t>Aslan, I., &amp; Polat, H. (2024). Investigating social media addiction and impact of social media addiction, loneliness, depression, life satisfaction and problem-solving skills on academic self-efficacy and academic success among university students. Frontiers in Public Health, 12, 1359691. https://doi.org/10.3389/fpubh.2024.1359691</w:t>
      </w:r>
    </w:p>
    <w:p>
      <w:r>
        <w:br w:type="page"/>
      </w:r>
    </w:p>
    <w:p>
      <w:pPr>
        <w:bidi/>
        <w:spacing w:line="360" w:lineRule="auto" w:after="160" w:before="120"/>
        <w:jc w:val="right"/>
      </w:pPr>
      <w:r>
        <w:rPr>
          <w:rFonts w:ascii="David" w:hAnsi="David" w:cs="David"/>
          <w:b/>
          <w:sz w:val="26"/>
          <w:szCs w:val="26"/>
          <w:rtl w:val="1"/>
          <w:bCs/>
        </w:rPr>
        <w:t>נספח: סיכום מאמר</w:t>
      </w:r>
    </w:p>
    <w:p>
      <w:pPr>
        <w:bidi/>
        <w:spacing w:line="360" w:lineRule="auto" w:after="200" w:before="0"/>
        <w:jc w:val="right"/>
      </w:pPr>
      <w:r>
        <w:rPr>
          <w:rFonts w:ascii="David" w:hAnsi="David" w:cs="David"/>
          <w:b w:val="0"/>
          <w:sz w:val="22"/>
          <w:szCs w:val="22"/>
          <w:rtl w:val="1"/>
        </w:rPr>
        <w:t>(סיכום המאמר של היימן ואולניק-שמש, 2015, על פי מודל סיכום המאמר שנלמד בקורס)</w:t>
      </w:r>
    </w:p>
    <w:p>
      <w:pPr>
        <w:bidi/>
        <w:spacing w:line="360" w:lineRule="auto" w:after="160"/>
        <w:jc w:val="both"/>
      </w:pPr>
      <w:r>
        <w:rPr>
          <w:rFonts w:ascii="David" w:hAnsi="David" w:cs="David"/>
          <w:b/>
          <w:sz w:val="24"/>
          <w:szCs w:val="24"/>
          <w:rtl w:val="1"/>
          <w:bCs/>
        </w:rPr>
        <w:t xml:space="preserve">פרטי המאמר: </w:t>
      </w:r>
      <w:r>
        <w:rPr>
          <w:rFonts w:ascii="David" w:hAnsi="David" w:cs="David"/>
          <w:b w:val="0"/>
          <w:sz w:val="24"/>
          <w:szCs w:val="24"/>
          <w:rtl w:val="1"/>
        </w:rPr>
        <w:t>היימן, ט', ואולניק-שמש, ד' (2015). הקול ברשת או הכול ברשת? פגיעות ועדות להטרדות ברשת של תלמידים עם לקות למידה, הפרעת קשב ולקויות חושיות. עיונים בשפה וחברה, 7(1–2), 88–104.</w:t>
      </w:r>
    </w:p>
    <w:p>
      <w:pPr>
        <w:bidi/>
        <w:spacing w:line="360" w:lineRule="auto" w:after="160"/>
        <w:jc w:val="both"/>
      </w:pPr>
      <w:r>
        <w:rPr>
          <w:rFonts w:ascii="David" w:hAnsi="David" w:cs="David"/>
          <w:b/>
          <w:sz w:val="24"/>
          <w:szCs w:val="24"/>
          <w:rtl w:val="1"/>
          <w:bCs/>
        </w:rPr>
        <w:t xml:space="preserve">נושא ומטרת המחקר: </w:t>
      </w:r>
      <w:r>
        <w:rPr>
          <w:rFonts w:ascii="David" w:hAnsi="David" w:cs="David"/>
          <w:b w:val="0"/>
          <w:sz w:val="24"/>
          <w:szCs w:val="24"/>
          <w:rtl w:val="1"/>
        </w:rPr>
        <w:t>המחקר בוחן כיצד מתבגרים עם לקויות (לקות למידה, הפרעת קשב ולקויות חושיות) חווים ומתארים פגיעות והטרדות ברשת, ומבקש לזהות את היקף ההיפגעות, את אופייה ואת דרכי ההתמודדות עמה.</w:t>
      </w:r>
    </w:p>
    <w:p>
      <w:pPr>
        <w:bidi/>
        <w:spacing w:line="360" w:lineRule="auto" w:after="160"/>
        <w:jc w:val="both"/>
      </w:pPr>
      <w:r>
        <w:rPr>
          <w:rFonts w:ascii="David" w:hAnsi="David" w:cs="David"/>
          <w:b/>
          <w:sz w:val="24"/>
          <w:szCs w:val="24"/>
          <w:rtl w:val="1"/>
          <w:bCs/>
        </w:rPr>
        <w:t xml:space="preserve">שאלת המחקר: </w:t>
      </w:r>
      <w:r>
        <w:rPr>
          <w:rFonts w:ascii="David" w:hAnsi="David" w:cs="David"/>
          <w:b w:val="0"/>
          <w:sz w:val="24"/>
          <w:szCs w:val="24"/>
          <w:rtl w:val="1"/>
        </w:rPr>
        <w:t>מהו היקף ההיפגעות מהטרדות ברשת בקרב תלמידים עם לקויות, וכיצד הם מתארים את חוויית הפגיעה ואת דרכי ההתמודדות שלהם עמה?</w:t>
      </w:r>
    </w:p>
    <w:p>
      <w:pPr>
        <w:bidi/>
        <w:spacing w:line="360" w:lineRule="auto" w:after="160"/>
        <w:jc w:val="both"/>
      </w:pPr>
      <w:r>
        <w:rPr>
          <w:rFonts w:ascii="David" w:hAnsi="David" w:cs="David"/>
          <w:b/>
          <w:sz w:val="24"/>
          <w:szCs w:val="24"/>
          <w:rtl w:val="1"/>
          <w:bCs/>
        </w:rPr>
        <w:t xml:space="preserve">שיטת המחקר: </w:t>
      </w:r>
      <w:r>
        <w:rPr>
          <w:rFonts w:ascii="David" w:hAnsi="David" w:cs="David"/>
          <w:b w:val="0"/>
          <w:sz w:val="24"/>
          <w:szCs w:val="24"/>
          <w:rtl w:val="1"/>
        </w:rPr>
        <w:t>מחקר איכותני מבוסס ניתוח שיח. השתתפו בו 181 תלמידים בגילי 14 עד 16 (78 עם לקות למידה, 77 עם הפרעת קשב ו-26 עם לקות ראייה או שמיעה), אשר תיארו בכתב הטרדות שחוו ברשת או שהיו עדים להן כלפי אחרים.</w:t>
      </w:r>
    </w:p>
    <w:p>
      <w:pPr>
        <w:bidi/>
        <w:spacing w:line="360" w:lineRule="auto" w:after="160"/>
        <w:jc w:val="both"/>
      </w:pPr>
      <w:r>
        <w:rPr>
          <w:rFonts w:ascii="David" w:hAnsi="David" w:cs="David"/>
          <w:b/>
          <w:sz w:val="24"/>
          <w:szCs w:val="24"/>
          <w:rtl w:val="1"/>
          <w:bCs/>
        </w:rPr>
        <w:t xml:space="preserve">ממצאים עיקריים: </w:t>
      </w:r>
      <w:r>
        <w:rPr>
          <w:rFonts w:ascii="David" w:hAnsi="David" w:cs="David"/>
          <w:b w:val="0"/>
          <w:sz w:val="24"/>
          <w:szCs w:val="24"/>
          <w:rtl w:val="1"/>
        </w:rPr>
        <w:t>בין 42 ל-44 אחוזים מהתלמידים דיווחו שחוו הצקות והטרדות ברשת. מניתוח התיאורים עלו תמות מרכזיות הנוגעות לאופי הפגיעה, למשך הפגיעה ולחשיפת ההתנסות האישית, וכן לדרכי ההתמודדות המגוונות של התלמידים.</w:t>
      </w:r>
    </w:p>
    <w:p>
      <w:pPr>
        <w:bidi/>
        <w:spacing w:line="360" w:lineRule="auto" w:after="160"/>
        <w:jc w:val="both"/>
      </w:pPr>
      <w:r>
        <w:rPr>
          <w:rFonts w:ascii="David" w:hAnsi="David" w:cs="David"/>
          <w:b/>
          <w:sz w:val="24"/>
          <w:szCs w:val="24"/>
          <w:rtl w:val="1"/>
          <w:bCs/>
        </w:rPr>
        <w:t xml:space="preserve">מסקנות: </w:t>
      </w:r>
      <w:r>
        <w:rPr>
          <w:rFonts w:ascii="David" w:hAnsi="David" w:cs="David"/>
          <w:b w:val="0"/>
          <w:sz w:val="24"/>
          <w:szCs w:val="24"/>
          <w:rtl w:val="1"/>
        </w:rPr>
        <w:t>הפגיעה ברשת נחווית כחודרנית ומתמשכת, ותלמידים עם לקויות חשופים לה במידה ניכרת. הממצאים מדגישים את הצורך במענה חינוכי מותאם שייתן קול לחוויית המתבגרים עצמם.</w:t>
      </w:r>
    </w:p>
    <w:p>
      <w:pPr>
        <w:bidi/>
        <w:spacing w:line="360" w:lineRule="auto" w:after="160"/>
        <w:jc w:val="both"/>
      </w:pPr>
      <w:r>
        <w:rPr>
          <w:rFonts w:ascii="David" w:hAnsi="David" w:cs="David"/>
          <w:b/>
          <w:sz w:val="24"/>
          <w:szCs w:val="24"/>
          <w:rtl w:val="1"/>
          <w:bCs/>
        </w:rPr>
        <w:t xml:space="preserve">תרומה ומגבלות: </w:t>
      </w:r>
      <w:r>
        <w:rPr>
          <w:rFonts w:ascii="David" w:hAnsi="David" w:cs="David"/>
          <w:b w:val="0"/>
          <w:sz w:val="24"/>
          <w:szCs w:val="24"/>
          <w:rtl w:val="1"/>
        </w:rPr>
        <w:t>המחקר מעמיק בקולם של המתבגרים דרך תיאוריהם האישיים ומאיר את חוויית הפגיעה מבפנים. עם זאת, אופיו האיכותני וההסתמכות על דיווח עצמי מגבילים את יכולת ההכללה הכמותית לכלל אוכלוסיית המתבגרים.</w:t>
      </w:r>
    </w:p>
    <w:sectPr w:rsidR="00FC693F" w:rsidRPr="0006063C" w:rsidSect="00034616">
      <w:footerReference w:type="default" r:id="rId9"/>
      <w:pgSz w:w="12240" w:h="15840"/>
      <w:pgMar w:top="1440" w:right="1440" w:bottom="1440" w:left="144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avid" w:hAnsi="David"/>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