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ניתוח SWOT</w:t>
      </w:r>
    </w:p>
    <w:tbl>
      <w:tblPr>
        <w:tblStyle w:val="TableGrid"/>
        <w:tblW w:type="auto" w:w="0"/>
        <w:jc w:val="right"/>
        <w:tblLook w:firstColumn="1" w:firstRow="1" w:lastColumn="0" w:lastRow="0" w:noHBand="0" w:noVBand="1" w:val="04A0"/>
      </w:tblPr>
      <w:tblGrid>
        <w:gridCol w:w="4680"/>
        <w:gridCol w:w="4680"/>
      </w:tblGrid>
      <w:tr>
        <w:tc>
          <w:tcPr>
            <w:tcW w:type="dxa" w:w="1872"/>
          </w:tcPr>
          <w:p>
            <w:pPr>
              <w:bidi w:val="1"/>
              <w:jc w:val="right"/>
            </w:pPr>
            <w:r/>
            <w:r>
              <w:rPr>
                <w:rFonts w:ascii="David" w:hAnsi="David" w:cs="David"/>
                <w:b/>
                <w:i w:val="0"/>
                <w:sz w:val="22"/>
                <w:szCs w:val="22"/>
                <w:rtl w:val="1"/>
              </w:rPr>
              <w:t>רכיב</w:t>
            </w:r>
          </w:p>
        </w:tc>
        <w:tc>
          <w:tcPr>
            <w:tcW w:type="dxa" w:w="6768"/>
          </w:tcPr>
          <w:p>
            <w:pPr>
              <w:bidi w:val="1"/>
              <w:jc w:val="right"/>
            </w:pPr>
            <w:r/>
            <w:r>
              <w:rPr>
                <w:rFonts w:ascii="David" w:hAnsi="David" w:cs="David"/>
                <w:b/>
                <w:i w:val="0"/>
                <w:sz w:val="22"/>
                <w:szCs w:val="22"/>
                <w:rtl w:val="1"/>
              </w:rPr>
              <w:t>תוכן</w:t>
            </w:r>
          </w:p>
        </w:tc>
      </w:tr>
      <w:tr>
        <w:tc>
          <w:tcPr>
            <w:tcW w:type="dxa" w:w="1872"/>
          </w:tcPr>
          <w:p>
            <w:pPr>
              <w:bidi w:val="1"/>
              <w:jc w:val="right"/>
            </w:pPr>
            <w:r/>
            <w:r>
              <w:rPr>
                <w:rFonts w:ascii="David" w:hAnsi="David" w:cs="David"/>
                <w:b w:val="0"/>
                <w:i w:val="0"/>
                <w:sz w:val="22"/>
                <w:szCs w:val="22"/>
                <w:rtl w:val="1"/>
              </w:rPr>
              <w:t>חוזקות</w:t>
            </w:r>
          </w:p>
        </w:tc>
        <w:tc>
          <w:tcPr>
            <w:tcW w:type="dxa" w:w="6768"/>
          </w:tcPr>
          <w:p>
            <w:pPr>
              <w:bidi w:val="1"/>
              <w:jc w:val="right"/>
            </w:pPr>
            <w:r/>
            <w:r>
              <w:rPr>
                <w:rFonts w:ascii="David" w:hAnsi="David" w:cs="David"/>
                <w:b w:val="0"/>
                <w:i w:val="0"/>
                <w:sz w:val="22"/>
                <w:szCs w:val="22"/>
                <w:rtl w:val="1"/>
              </w:rPr>
              <w:t>עשור של ניסיון, צוות מקצועי, תוצאות מוכחות בשטח, וסיפורי בוגרים אותנטיים ומרגשים.</w:t>
            </w:r>
          </w:p>
        </w:tc>
      </w:tr>
      <w:tr>
        <w:tc>
          <w:tcPr>
            <w:tcW w:type="dxa" w:w="1872"/>
          </w:tcPr>
          <w:p>
            <w:pPr>
              <w:bidi w:val="1"/>
              <w:jc w:val="right"/>
            </w:pPr>
            <w:r/>
            <w:r>
              <w:rPr>
                <w:rFonts w:ascii="David" w:hAnsi="David" w:cs="David"/>
                <w:b w:val="0"/>
                <w:i w:val="0"/>
                <w:sz w:val="22"/>
                <w:szCs w:val="22"/>
                <w:rtl w:val="1"/>
              </w:rPr>
              <w:t>חולשות</w:t>
            </w:r>
          </w:p>
        </w:tc>
        <w:tc>
          <w:tcPr>
            <w:tcW w:type="dxa" w:w="6768"/>
          </w:tcPr>
          <w:p>
            <w:pPr>
              <w:bidi w:val="1"/>
              <w:jc w:val="right"/>
            </w:pPr>
            <w:r/>
            <w:r>
              <w:rPr>
                <w:rFonts w:ascii="David" w:hAnsi="David" w:cs="David"/>
                <w:b w:val="0"/>
                <w:i w:val="0"/>
                <w:sz w:val="22"/>
                <w:szCs w:val="22"/>
                <w:rtl w:val="1"/>
              </w:rPr>
              <w:t>מודעות ציבורית נמוכה, נוכחות דיגיטלית דלה, ותלות בתקציב לא יציב שמגיע ממעט תורמים.</w:t>
            </w:r>
          </w:p>
        </w:tc>
      </w:tr>
      <w:tr>
        <w:tc>
          <w:tcPr>
            <w:tcW w:type="dxa" w:w="1872"/>
          </w:tcPr>
          <w:p>
            <w:pPr>
              <w:bidi w:val="1"/>
              <w:jc w:val="right"/>
            </w:pPr>
            <w:r/>
            <w:r>
              <w:rPr>
                <w:rFonts w:ascii="David" w:hAnsi="David" w:cs="David"/>
                <w:b w:val="0"/>
                <w:i w:val="0"/>
                <w:sz w:val="22"/>
                <w:szCs w:val="22"/>
                <w:rtl w:val="1"/>
              </w:rPr>
              <w:t>הזדמנויות</w:t>
            </w:r>
          </w:p>
        </w:tc>
        <w:tc>
          <w:tcPr>
            <w:tcW w:type="dxa" w:w="6768"/>
          </w:tcPr>
          <w:p>
            <w:pPr>
              <w:bidi w:val="1"/>
              <w:jc w:val="right"/>
            </w:pPr>
            <w:r/>
            <w:r>
              <w:rPr>
                <w:rFonts w:ascii="David" w:hAnsi="David" w:cs="David"/>
                <w:b w:val="0"/>
                <w:i w:val="0"/>
                <w:sz w:val="22"/>
                <w:szCs w:val="22"/>
                <w:rtl w:val="1"/>
              </w:rPr>
              <w:t>עניין תקשורתי בנוער בפתיחת השנה, מגמת אחריות תאגידית, ופוטנציאל לא ממומש ברשתות ובשותפויות.</w:t>
            </w:r>
          </w:p>
        </w:tc>
      </w:tr>
      <w:tr>
        <w:tc>
          <w:tcPr>
            <w:tcW w:type="dxa" w:w="1872"/>
          </w:tcPr>
          <w:p>
            <w:pPr>
              <w:bidi w:val="1"/>
              <w:jc w:val="right"/>
            </w:pPr>
            <w:r/>
            <w:r>
              <w:rPr>
                <w:rFonts w:ascii="David" w:hAnsi="David" w:cs="David"/>
                <w:b w:val="0"/>
                <w:i w:val="0"/>
                <w:sz w:val="22"/>
                <w:szCs w:val="22"/>
                <w:rtl w:val="1"/>
              </w:rPr>
              <w:t>איומים</w:t>
            </w:r>
          </w:p>
        </w:tc>
        <w:tc>
          <w:tcPr>
            <w:tcW w:type="dxa" w:w="6768"/>
          </w:tcPr>
          <w:p>
            <w:pPr>
              <w:bidi w:val="1"/>
              <w:jc w:val="right"/>
            </w:pPr>
            <w:r/>
            <w:r>
              <w:rPr>
                <w:rFonts w:ascii="David" w:hAnsi="David" w:cs="David"/>
                <w:b w:val="0"/>
                <w:i w:val="0"/>
                <w:sz w:val="22"/>
                <w:szCs w:val="22"/>
                <w:rtl w:val="1"/>
              </w:rPr>
              <w:t>סטיגמה כלפי נוער בסיכון, ביקורת ציבורית על התנהלות עמותות, ותחרות על תשומת לב ועל תרומות.</w:t>
            </w:r>
          </w:p>
        </w:tc>
      </w:tr>
    </w:tbl>
    <w:p>
      <w:pPr>
        <w:bidi w:val="1"/>
        <w:spacing w:line="360" w:lineRule="auto" w:after="80"/>
        <w:jc w:val="both"/>
      </w:pP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60"/>
        <w:jc w:val="both"/>
      </w:pPr>
      <w:r>
        <w:rPr>
          <w:rFonts w:ascii="David" w:hAnsi="David" w:cs="David"/>
          <w:b w:val="0"/>
          <w:i w:val="0"/>
          <w:sz w:val="24"/>
          <w:szCs w:val="24"/>
          <w:rtl w:val="1"/>
        </w:rPr>
        <w:t>כדי לדבר עם כל קהל בשפה שלו, פילחתי אותם לפי מה שמניע כל אחד. התורם הפרטי מגיב לסיפור האישי ולתחושה שהתרומה שלו משנה חיים ממש. התורם העסקי מחפש שותפות שמייצרת גם ערך מיתוגי ואחריות תאגידית. מקבל ההחלטות ברשות רוצה לראות נתונים ושיתוף פעולה מוסדי. וההורים והנוער עצמם צריכים קודם כול לחוש שהעמותה רואה אותם בכבוד, ולא כבעיה שצריך לפתור. לכל קהל מותאם דגש אחר מתוך אותם מסרי עוגן.</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pPr>
        <w:bidi w:val="1"/>
        <w:spacing w:line="360" w:lineRule="auto" w:after="120"/>
        <w:jc w:val="right"/>
      </w:pPr>
      <w:r>
        <w:rPr>
          <w:rFonts w:ascii="David" w:hAnsi="David" w:cs="David"/>
          <w:b/>
          <w:i w:val="0"/>
          <w:sz w:val="26"/>
          <w:szCs w:val="26"/>
          <w:rtl w:val="1"/>
        </w:rPr>
        <w:t>לוח זמנים ומדדי הצלחה</w:t>
      </w:r>
    </w:p>
    <w:p>
      <w:pPr>
        <w:bidi w:val="1"/>
        <w:spacing w:line="360" w:lineRule="auto" w:after="160"/>
        <w:jc w:val="both"/>
      </w:pPr>
      <w:r>
        <w:rPr>
          <w:rFonts w:ascii="David" w:hAnsi="David" w:cs="David"/>
          <w:b w:val="0"/>
          <w:i w:val="0"/>
          <w:sz w:val="24"/>
          <w:szCs w:val="24"/>
          <w:rtl w:val="1"/>
        </w:rPr>
        <w:t>ארבע היוזמות רצות במקביל לאורך אוגוסט וספטמבר. קמפיין הסושיאל פרוס על כל התקופה, וההשקה במדיה המסורתית והאירוע ממוקדים לשבוע פתיחת השנה, נקודת השיא של התוכנית. את ההצלחה אני מודדת בכמה מדדים פשוטים, היקף ואיכות החשיפה התקשורתית, מדדי מעורבות ברשתות כמו שיתופים, תגובות וצפיות מלאות, מספר התורמים החדשים והיקף התרומות, ולאורך זמן גם שינוי בטון של השיח סביב נוער בסיכון. מדידה שוטפת לאורך הדרך מאפשרת לתקן תוך כדי תנועה, ולא רק להסתכל אחורה בסוף.</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pPr>
        <w:bidi w:val="1"/>
        <w:spacing w:line="360" w:lineRule="auto" w:after="120"/>
        <w:jc w:val="right"/>
      </w:pPr>
      <w:r>
        <w:rPr>
          <w:rFonts w:ascii="David" w:hAnsi="David" w:cs="David"/>
          <w:b/>
          <w:i w:val="0"/>
          <w:sz w:val="26"/>
          <w:szCs w:val="26"/>
          <w:rtl w:val="1"/>
        </w:rPr>
        <w:t>צוות המשבר וחלוקת התפקידים</w:t>
      </w:r>
    </w:p>
    <w:p>
      <w:pPr>
        <w:bidi w:val="1"/>
        <w:spacing w:line="360" w:lineRule="auto" w:after="160"/>
        <w:jc w:val="both"/>
      </w:pPr>
      <w:r>
        <w:rPr>
          <w:rFonts w:ascii="David" w:hAnsi="David" w:cs="David"/>
          <w:b w:val="0"/>
          <w:i w:val="0"/>
          <w:sz w:val="24"/>
          <w:szCs w:val="24"/>
          <w:rtl w:val="1"/>
        </w:rPr>
        <w:t>צוות המשבר קטן ומוגדר מראש. מנכ"לית העמותה מובילה ומקבלת את ההחלטות הגדולות, הדובר היחיד מדבר החוצה, איש מקצוע מהתחום הטיפולי מוודא שהתגובה לא פוגעת בחניכים או בתהליך השיקומי, ואחראי ניטור עוקב אחר הרשתות ואחר התקשורת. כל שאר אנשי העמותה יודעים דבר אחד, להפנות כל פנייה תקשורתית לדובר ולא להגיב בעצמם.</w:t>
      </w:r>
    </w:p>
    <w:p>
      <w:pPr>
        <w:bidi w:val="1"/>
        <w:spacing w:line="360" w:lineRule="auto" w:after="120"/>
        <w:jc w:val="right"/>
      </w:pPr>
      <w:r>
        <w:rPr>
          <w:rFonts w:ascii="David" w:hAnsi="David" w:cs="David"/>
          <w:b/>
          <w:i w:val="0"/>
          <w:sz w:val="26"/>
          <w:szCs w:val="26"/>
          <w:rtl w:val="1"/>
        </w:rPr>
        <w:t>מיפוי תרחישים ותגובה ראשונית</w:t>
      </w:r>
    </w:p>
    <w:tbl>
      <w:tblPr>
        <w:tblStyle w:val="TableGrid"/>
        <w:tblW w:type="auto" w:w="0"/>
        <w:jc w:val="right"/>
        <w:tblLook w:firstColumn="1" w:firstRow="1" w:lastColumn="0" w:lastRow="0" w:noHBand="0" w:noVBand="1" w:val="04A0"/>
      </w:tblPr>
      <w:tblGrid>
        <w:gridCol w:w="4680"/>
        <w:gridCol w:w="4680"/>
      </w:tblGrid>
      <w:tr>
        <w:tc>
          <w:tcPr>
            <w:tcW w:type="dxa" w:w="3744"/>
          </w:tcPr>
          <w:p>
            <w:pPr>
              <w:bidi w:val="1"/>
              <w:jc w:val="right"/>
            </w:pPr>
            <w:r/>
            <w:r>
              <w:rPr>
                <w:rFonts w:ascii="David" w:hAnsi="David" w:cs="David"/>
                <w:b/>
                <w:i w:val="0"/>
                <w:sz w:val="22"/>
                <w:szCs w:val="22"/>
                <w:rtl w:val="1"/>
              </w:rPr>
              <w:t>תרחיש אפשרי</w:t>
            </w:r>
          </w:p>
        </w:tc>
        <w:tc>
          <w:tcPr>
            <w:tcW w:type="dxa" w:w="4896"/>
          </w:tcPr>
          <w:p>
            <w:pPr>
              <w:bidi w:val="1"/>
              <w:jc w:val="right"/>
            </w:pPr>
            <w:r/>
            <w:r>
              <w:rPr>
                <w:rFonts w:ascii="David" w:hAnsi="David" w:cs="David"/>
                <w:b/>
                <w:i w:val="0"/>
                <w:sz w:val="22"/>
                <w:szCs w:val="22"/>
                <w:rtl w:val="1"/>
              </w:rPr>
              <w:t>תגובה ראשונית</w:t>
            </w:r>
          </w:p>
        </w:tc>
      </w:tr>
      <w:tr>
        <w:tc>
          <w:tcPr>
            <w:tcW w:type="dxa" w:w="3744"/>
          </w:tcPr>
          <w:p>
            <w:pPr>
              <w:bidi w:val="1"/>
              <w:jc w:val="right"/>
            </w:pPr>
            <w:r/>
            <w:r>
              <w:rPr>
                <w:rFonts w:ascii="David" w:hAnsi="David" w:cs="David"/>
                <w:b w:val="0"/>
                <w:i w:val="0"/>
                <w:sz w:val="22"/>
                <w:szCs w:val="22"/>
                <w:rtl w:val="1"/>
              </w:rPr>
              <w:t>חשד לפגיעה או הזנחה של חניך במסגרת</w:t>
            </w:r>
          </w:p>
        </w:tc>
        <w:tc>
          <w:tcPr>
            <w:tcW w:type="dxa" w:w="4896"/>
          </w:tcPr>
          <w:p>
            <w:pPr>
              <w:bidi w:val="1"/>
              <w:jc w:val="right"/>
            </w:pPr>
            <w:r/>
            <w:r>
              <w:rPr>
                <w:rFonts w:ascii="David" w:hAnsi="David" w:cs="David"/>
                <w:b w:val="0"/>
                <w:i w:val="0"/>
                <w:sz w:val="22"/>
                <w:szCs w:val="22"/>
                <w:rtl w:val="1"/>
              </w:rPr>
              <w:t>הצהרת החזקה תוך שעה, נטילת אחריות ואמפתיה, פתיחת בדיקה ושיתוף פעולה עם הרשויות.</w:t>
            </w:r>
          </w:p>
        </w:tc>
      </w:tr>
      <w:tr>
        <w:tc>
          <w:tcPr>
            <w:tcW w:type="dxa" w:w="3744"/>
          </w:tcPr>
          <w:p>
            <w:pPr>
              <w:bidi w:val="1"/>
              <w:jc w:val="right"/>
            </w:pPr>
            <w:r/>
            <w:r>
              <w:rPr>
                <w:rFonts w:ascii="David" w:hAnsi="David" w:cs="David"/>
                <w:b w:val="0"/>
                <w:i w:val="0"/>
                <w:sz w:val="22"/>
                <w:szCs w:val="22"/>
                <w:rtl w:val="1"/>
              </w:rPr>
              <w:t>האשמה בניהול כספי לא תקין</w:t>
            </w:r>
          </w:p>
        </w:tc>
        <w:tc>
          <w:tcPr>
            <w:tcW w:type="dxa" w:w="4896"/>
          </w:tcPr>
          <w:p>
            <w:pPr>
              <w:bidi w:val="1"/>
              <w:jc w:val="right"/>
            </w:pPr>
            <w:r/>
            <w:r>
              <w:rPr>
                <w:rFonts w:ascii="David" w:hAnsi="David" w:cs="David"/>
                <w:b w:val="0"/>
                <w:i w:val="0"/>
                <w:sz w:val="22"/>
                <w:szCs w:val="22"/>
                <w:rtl w:val="1"/>
              </w:rPr>
              <w:t>שקיפות מלאה, פרסום נתונים ודוח כספי, והזמנה לבדיקה חיצונית בלתי תלויה.</w:t>
            </w:r>
          </w:p>
        </w:tc>
      </w:tr>
      <w:tr>
        <w:tc>
          <w:tcPr>
            <w:tcW w:type="dxa" w:w="3744"/>
          </w:tcPr>
          <w:p>
            <w:pPr>
              <w:bidi w:val="1"/>
              <w:jc w:val="right"/>
            </w:pPr>
            <w:r/>
            <w:r>
              <w:rPr>
                <w:rFonts w:ascii="David" w:hAnsi="David" w:cs="David"/>
                <w:b w:val="0"/>
                <w:i w:val="0"/>
                <w:sz w:val="22"/>
                <w:szCs w:val="22"/>
                <w:rtl w:val="1"/>
              </w:rPr>
              <w:t>פרסום שלילי או מידע כוזב ברשתות</w:t>
            </w:r>
          </w:p>
        </w:tc>
        <w:tc>
          <w:tcPr>
            <w:tcW w:type="dxa" w:w="4896"/>
          </w:tcPr>
          <w:p>
            <w:pPr>
              <w:bidi w:val="1"/>
              <w:jc w:val="right"/>
            </w:pPr>
            <w:r/>
            <w:r>
              <w:rPr>
                <w:rFonts w:ascii="David" w:hAnsi="David" w:cs="David"/>
                <w:b w:val="0"/>
                <w:i w:val="0"/>
                <w:sz w:val="22"/>
                <w:szCs w:val="22"/>
                <w:rtl w:val="1"/>
              </w:rPr>
              <w:t>תיקון עובדתי מהיר ומנומס, פנייה ישירה למפרסם, וגיוס בוגרים ושותפים כשגרירים אמינים.</w:t>
            </w:r>
          </w:p>
        </w:tc>
      </w:tr>
      <w:tr>
        <w:tc>
          <w:tcPr>
            <w:tcW w:type="dxa" w:w="3744"/>
          </w:tcPr>
          <w:p>
            <w:pPr>
              <w:bidi w:val="1"/>
              <w:jc w:val="right"/>
            </w:pPr>
            <w:r/>
            <w:r>
              <w:rPr>
                <w:rFonts w:ascii="David" w:hAnsi="David" w:cs="David"/>
                <w:b w:val="0"/>
                <w:i w:val="0"/>
                <w:sz w:val="22"/>
                <w:szCs w:val="22"/>
                <w:rtl w:val="1"/>
              </w:rPr>
              <w:t>דליפת מידע אישי על חניך</w:t>
            </w:r>
          </w:p>
        </w:tc>
        <w:tc>
          <w:tcPr>
            <w:tcW w:type="dxa" w:w="4896"/>
          </w:tcPr>
          <w:p>
            <w:pPr>
              <w:bidi w:val="1"/>
              <w:jc w:val="right"/>
            </w:pPr>
            <w:r/>
            <w:r>
              <w:rPr>
                <w:rFonts w:ascii="David" w:hAnsi="David" w:cs="David"/>
                <w:b w:val="0"/>
                <w:i w:val="0"/>
                <w:sz w:val="22"/>
                <w:szCs w:val="22"/>
                <w:rtl w:val="1"/>
              </w:rPr>
              <w:t>עצירה מיידית של הדליפה, יידוע הנפגעים, טיפול טכני ומשפטי, והכרה כנה באחריות.</w:t>
            </w:r>
          </w:p>
        </w:tc>
      </w:tr>
    </w:tbl>
    <w:p>
      <w:pPr>
        <w:bidi w:val="1"/>
        <w:spacing w:line="360" w:lineRule="auto" w:after="80"/>
        <w:jc w:val="both"/>
      </w:pP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