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rFonts w:ascii="David" w:hAnsi="David" w:cs="David"/>
          <w:b/>
          <w:color w:val="000000"/>
          <w:sz w:val="32"/>
          <w:szCs w:val="32"/>
          <w:rtl w:val="1"/>
        </w:rPr>
        <w:t>מכללת לוינסקי לחינוך</w:t>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bidi w:val="1"/>
        <w:pStyle w:val="Heading2"/>
        <w:bidi w:val="1"/>
        <w:spacing w:line="360" w:lineRule="auto" w:before="280" w:after="160"/>
        <w:jc w:val="both"/>
      </w:pPr>
      <w:r>
        <w:rPr>
          <w:rFonts w:ascii="David" w:hAnsi="David" w:cs="David"/>
          <w:b/>
          <w:color w:val="000000"/>
          <w:sz w:val="26"/>
          <w:szCs w:val="26"/>
          <w:rtl w:val="1"/>
          <w:rtl w:val="1"/>
        </w:rPr>
        <w:t>4.10 מגבלות המחקר</w:t>
      </w:r>
    </w:p>
    <w:p>
      <w:pPr>
        <w:bidi w:val="1"/>
        <w:spacing w:line="360" w:lineRule="auto" w:before="0" w:after="120"/>
        <w:ind/>
        <w:jc w:val="both"/>
      </w:pPr>
      <w:r>
        <w:rPr>
          <w:rFonts w:ascii="David" w:hAnsi="David" w:cs="David"/>
          <w:b w:val="0"/>
          <w:color w:val="000000"/>
          <w:sz w:val="24"/>
          <w:szCs w:val="24"/>
          <w:rtl w:val="1"/>
        </w:rPr>
        <w:t>למחקר זה מספר מגבלות. ראשית, המדגם קטן (שש גננות) וכולל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Cs w:val="24"/>
          <w:rtl w:val="1"/>
        </w:rPr>
        <w:t xml:space="preserve">  (מרואיינת 4)</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Cs w:val="24"/>
          <w:rtl w:val="1"/>
        </w:rPr>
        <w:t xml:space="preserve">  (מרואיינת 5)</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 וסיכום</w:t>
      </w:r>
    </w:p>
    <w:p>
      <w:pPr>
        <w:bidi w:val="1"/>
        <w:spacing w:line="360" w:lineRule="auto" w:before="0" w:after="120"/>
        <w:ind/>
        <w:jc w:val="both"/>
      </w:pPr>
      <w:r>
        <w:rPr>
          <w:rFonts w:ascii="David" w:hAnsi="David" w:cs="David"/>
          <w:b w:val="0"/>
          <w:color w:val="000000"/>
          <w:sz w:val="24"/>
          <w:szCs w:val="24"/>
          <w:rtl w:val="1"/>
        </w:rPr>
        <w:t>המחקר הנוכחי בחן כיצד גננות תופסות ומגדירות התנהלות צודקת והוגנת במסגרת הגן. ממצאי המחקר מלמדים כי הגננת חווה את סוגיית הצדק כסוגיה יומיומית, מוחשית ובלתי פוסקת, המתרחשת בכל החלטה זעירה של מי ראשון, מי מקבל תשומת לב ומי זוכה בתפקיד. בניגוד לבית הספר, שבו הצדק נבחן דרך משאב מדיד כמו ציון, בגן מתרכזת סוגיית הצדק סביב חלוקתם של משאבים רכים: תשומת לב רגשית, זמן, מרחב וקבלת תפקידים.</w:t>
      </w:r>
    </w:p>
    <w:p>
      <w:pPr>
        <w:bidi w:val="1"/>
        <w:spacing w:line="360" w:lineRule="auto" w:before="0" w:after="120"/>
        <w:ind/>
        <w:jc w:val="both"/>
      </w:pPr>
      <w:r>
        <w:rPr>
          <w:rFonts w:ascii="David" w:hAnsi="David" w:cs="David"/>
          <w:b w:val="0"/>
          <w:color w:val="000000"/>
          <w:sz w:val="24"/>
          <w:szCs w:val="24"/>
          <w:rtl w:val="1"/>
        </w:rPr>
        <w:t>הממצא המרכזי והחוזר ביותר הוא ההבחנה החדה שעורכות כל הגננות בין חלוקה שווה לחלוקה הוגנת, והעדפתן הברורה את ההוגנות מבוססת-הצורך על פני השוויון המכני. כל שש המרואיינות, ללא יוצאת מן הכלל, הדגימו זאת בדוגמאות קונקרטיות מן הגן, ותיארו כיצד הן נותנות יותר למי שזקוק, לעיתים אף באמצעות שינוי כללי המשחק עצמם. ממצא זה תואם את עיקרון הצורך בגישה הרב-ממדית לצדק חלוקתי (סבג וביברמן-שלו, 2014; Connell, 1993), ומחזק את התובנה כי בגיל הרך, בהיעדר משאב מדיד, ההוגנות מבוססת-הצורך היא עקרון החלוקה הדומיננטי בעיני הגננות.</w:t>
      </w:r>
    </w:p>
    <w:p>
      <w:pPr>
        <w:bidi w:val="1"/>
        <w:spacing w:line="360" w:lineRule="auto" w:before="0" w:after="120"/>
        <w:ind/>
        <w:jc w:val="both"/>
      </w:pPr>
      <w:r>
        <w:rPr>
          <w:rFonts w:ascii="David" w:hAnsi="David" w:cs="David"/>
          <w:b w:val="0"/>
          <w:color w:val="000000"/>
          <w:sz w:val="24"/>
          <w:szCs w:val="24"/>
          <w:rtl w:val="1"/>
        </w:rPr>
        <w:t>ממצא בולט שני הוא המודעות של הגננות לעוול הסמוי, כלומר לסכנה שהילד השקט והנוח ייעלם מן הרדאר לטובת הרועש והדורש. הגננות תיארו את חלוקת תשומת הלב לא כתהליך אינטואיטיבי אלא כפעולה מכוונת ושיטתית, מתוך הבנה שהיענות אינטואיטיבית לרועש היא כשלעצמה מקור לאי-צדק. ממד זה מחבר בין הצדק החלוקתי לצדק האינטראקציוני: לא רק כמה מקבל כל ילד, אלא האם הוא מרגיש נראה ומוכר (Horan et al., 2010; Jiang et al., 2018).</w:t>
      </w:r>
    </w:p>
    <w:p>
      <w:pPr>
        <w:bidi w:val="1"/>
        <w:spacing w:line="360" w:lineRule="auto" w:before="0" w:after="120"/>
        <w:ind/>
        <w:jc w:val="both"/>
      </w:pPr>
      <w:r>
        <w:rPr>
          <w:rFonts w:ascii="David" w:hAnsi="David" w:cs="David"/>
          <w:b w:val="0"/>
          <w:color w:val="000000"/>
          <w:sz w:val="24"/>
          <w:szCs w:val="24"/>
          <w:rtl w:val="1"/>
        </w:rPr>
        <w:t>ממצא שלישי הוא תפיסת הגן כמרחב מתקן, המבקש לצמצם פערים חברתיים-כלכליים ולא לשקף אותם. הגננות תיארו מאמץ מכוון ורגיש למניעת בושה, החל מכללים אחידים לימי הולדת ועד להספקת כל החומרים מן הגן. מאמץ זה בולט במיוחד אצל הגננת מן השכונה המוחלשת ואצל הגננת שגדלה בעצמה במיעוט אמצעים, ומבטא תפיסה של צדק חברתי כפעולה מתקנת מול ריבוד חברתי-כלכלי (דהאן, 2010; אדלר ובלס, 2009).</w:t>
      </w:r>
    </w:p>
    <w:p>
      <w:pPr>
        <w:bidi w:val="1"/>
        <w:spacing w:line="360" w:lineRule="auto" w:before="0" w:after="120"/>
        <w:ind/>
        <w:jc w:val="both"/>
      </w:pPr>
      <w:r>
        <w:rPr>
          <w:rFonts w:ascii="David" w:hAnsi="David" w:cs="David"/>
          <w:b w:val="0"/>
          <w:color w:val="000000"/>
          <w:sz w:val="24"/>
          <w:szCs w:val="24"/>
          <w:rtl w:val="1"/>
        </w:rPr>
        <w:t>לבסוף, כל הגננות תפסו את תפקידן ככולל, ואף כמתמקד, בקידום ערכים של שוויון וצדק חברתי, וראו בכך שליחות. הן הדגישו כי הילדים לומדים צדק מדוגמה אישית ולא מהטפה, ותיארו את עצמן כסוכנות הצדק הראשונות של הילד מול החברה. עם זאת, בהתאם לספרות (Solehuddin &amp; Adriany, 2017; Lang et al., 2024), ניכר כי אף שכל הגננות מחזיקות בערכי צדק מובהקים, מידת המודעות המפורשת שלהן, וכן הכלים והשפה שברשותן, מגוונות ומושפעות מן הוותק, מן הרקע האישי ומאוכלוסיית הגן.</w:t>
      </w:r>
    </w:p>
    <w:p>
      <w:pPr>
        <w:bidi w:val="1"/>
        <w:spacing w:line="360" w:lineRule="auto" w:before="0" w:after="120"/>
        <w:ind/>
        <w:jc w:val="both"/>
      </w:pPr>
      <w:r>
        <w:rPr>
          <w:rFonts w:ascii="David" w:hAnsi="David" w:cs="David"/>
          <w:b w:val="0"/>
          <w:color w:val="000000"/>
          <w:sz w:val="24"/>
          <w:szCs w:val="24"/>
          <w:rtl w:val="1"/>
        </w:rPr>
        <w:t>מן הממצאים עולה כי יש מקום להגביר את המודעות המקצועית של גננות לסוגיית הצדק החלוקתי בגן, ולהעניק להן שפה וכלים מפורשים לעסוק בה. מומלץ לשלב בהכשרת גננות ובהשתלמויות התייחסות מפורשת להבחנה בין שווה להוגן, לחלוקת המשאבים הרכים, ולמאבק בעוול הסמוי של הילד השקט. הטמעה כזו עשויה להפוך את העשייה האינטואיטיבית לעשייה מודעת ומכוונת, ולחזק את תפקידה של הגננת כסוכנת של שוויון וצדק כבר בשנות החיים הראשונות.</w:t>
      </w:r>
    </w:p>
    <w:p>
      <w:pPr>
        <w:bidi w:val="1"/>
        <w:spacing w:line="360" w:lineRule="auto" w:before="0" w:after="120"/>
        <w:ind/>
        <w:jc w:val="both"/>
      </w:pPr>
      <w:r>
        <w:rPr>
          <w:rFonts w:ascii="David" w:hAnsi="David" w:cs="David"/>
          <w:b w:val="0"/>
          <w:color w:val="000000"/>
          <w:sz w:val="24"/>
          <w:szCs w:val="24"/>
          <w:rtl w:val="1"/>
        </w:rPr>
        <w:t>למחקר עתידי מוצע להרחיב את המדגם ולכלול גננות מאזורים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רשימת המקורות</w:t>
      </w:r>
    </w:p>
    <w:p>
      <w:pPr>
        <w:bidi w:val="1"/>
        <w:spacing w:line="360" w:lineRule="auto" w:before="0" w:after="80"/>
        <w:jc w:val="both"/>
      </w:pPr>
      <w:r>
        <w:rPr>
          <w:rFonts w:ascii="David" w:hAnsi="David" w:cs="David"/>
          <w:b/>
          <w:color w:val="000000"/>
          <w:sz w:val="24"/>
          <w:szCs w:val="24"/>
          <w:rtl w:val="1"/>
        </w:rPr>
        <w:t>מקורות בעברית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color w:val="000000"/>
          <w:sz w:val="24"/>
          <w:szCs w:val="24"/>
          <w:rtl w:val="1"/>
        </w:rPr>
        <w:t>מקורות באנגלית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8.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w:t>
      </w:r>
    </w:p>
    <w:p>
      <w:pPr>
        <w:bidi w:val="1"/>
        <w:spacing w:line="360" w:lineRule="auto" w:before="0" w:after="160"/>
        <w:ind/>
        <w:jc w:val="both"/>
      </w:pPr>
      <w:r>
        <w:rPr>
          <w:rFonts w:ascii="David" w:hAnsi="David" w:cs="David"/>
          <w:b w:val="0"/>
          <w:color w:val="000000"/>
          <w:sz w:val="24"/>
          <w:szCs w:val="24"/>
          <w:rtl w:val="1"/>
        </w:rPr>
        <w:t>להלן טבלת הארגון המלאה של תשובות המרואיינות, כפי שנדרש בשלב הראשון של ניתוח הנתונים. הטבלה כוללת את כל שאלות הראיון ואת תשובותיהן של שש המרואיינות זו לצד זו, באופן המאפשר השוואה וחשיפת קטגוריות משותפות.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6"/>
                <w:szCs w:val="16"/>
                <w:rtl w:val="1"/>
              </w:rPr>
              <w:t>מרואיינת 6</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Cs w:val="24"/>
                <w:rtl w:val="1"/>
              </w:rPr>
            </w:r>
            <w:r>
              <w:rPr>
                <w:rFonts w:ascii="David" w:hAnsi="David" w:cs="David"/>
                <w:color w:val="000000"/>
                <w:sz w:val="16"/>
                <w:szCs w:val="16"/>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