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נשים ופשיעה: הפער המגדרי בעבריינות</w:t>
      </w:r>
    </w:p>
    <w:p>
      <w:pPr>
        <w:bidi/>
        <w:spacing w:after="400" w:line="360"/>
        <w:jc w:val="center"/>
      </w:pPr>
      <w:r>
        <w:rPr>
          <w:rFonts w:ascii="David" w:cs="David" w:eastAsia="David" w:hAnsi="David"/>
          <w:b/>
          <w:bCs/>
          <w:sz w:val="32"/>
          <w:szCs w:val="32"/>
          <w:rtl/>
        </w:rPr>
        <w:t xml:space="preserve">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סטפנסמייר ואלן קבעו כי "מגדר הוא המנבא החזק ביותר של מעורבות בפשיעה", חזק יותר מגיל, ממעמד חברתי-כלכלי, מהשכלה ומכל משתנה דמוגרפי אחר (Steffensmeier &amp; Allan, 1996).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(Kruttschnitt, 2013; Sela-Shayovitz, 2017).</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(גוד, 2002).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(Chesney-Lind, 1989).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(Steffensmeier &amp; Allan, 1996).</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(Kruttschnitt, 2013).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(Kruttschnitt, 2013).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(Steffensmeier &amp; Allan, 1996).</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(Chesney-Lind, 1989; פרישטוק, 2019). רביעית, מאפייני רקע: נשים כלואות מתאפיינות בשיעורים גבוהים של עוני, אימהוּת יחידנית, תחלואה נפשית והתמכרויות,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(Steffensmeier &amp; Allan, 1996; Kruttschnitt, 2013).</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(Steffensmeier &amp; Allan, 1996).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(Sampson &amp; Laub, 2003).</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(שוהם ואחרים, 2004; Naegler &amp; Salman, 2016).</w:t>
      </w:r>
    </w:p>
    <w:p>
      <w:pPr>
        <w:bidi/>
        <w:spacing w:after="160" w:before="0" w:line="360"/>
        <w:jc w:val="both"/>
      </w:pPr>
      <w:r>
        <w:rPr>
          <w:rFonts w:ascii="David" w:cs="David" w:eastAsia="David" w:hAnsi="David"/>
          <w:sz w:val="24"/>
          <w:szCs w:val="24"/>
          <w:rtl/>
        </w:rPr>
        <w:t xml:space="preserve">פולק (Pollak, 1950)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הציעו אדלר וסיימון את "תיאוריית האמנציפציה": אדלר (Adler, 1975) טענה בספרה "אחיות בפשע" כי השחרור הנשי יביא להתכנסות דפוסי הפשיעה: ככל שנשים ישתלבו בשוק העבודה ובעמדות כוח, כך תעלה עבריינותן ותידמה לזו הגברית. סיימון (Simon, 1975) הציעה גרסה מתונה שלפיה ההשתלבות התעסוקתית תרחיב בעיקר את הזדמנויותיהן לעבירות צווארון לבן.</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(Steffensmeier &amp; Allan, 1996;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תיאוריית הלחץ המגדרית והתיאוריה המגדרית המשולבת</w:t>
      </w:r>
    </w:p>
    <w:p>
      <w:pPr>
        <w:bidi/>
        <w:spacing w:after="160" w:before="0" w:line="360"/>
        <w:jc w:val="both"/>
      </w:pPr>
      <w:r>
        <w:rPr>
          <w:rFonts w:ascii="David" w:cs="David" w:eastAsia="David" w:hAnsi="David"/>
          <w:sz w:val="24"/>
          <w:szCs w:val="24"/>
          <w:rtl/>
        </w:rPr>
        <w:t xml:space="preserve">ברוידי ואגניו (Broidy &amp; Agnew, 1997)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(Kelly et al., 2015). על בסיס זה צמחו הקרימינולוגיה החיובית, המדגישה גורמי חוסן, שילוב חברתי וחוויות מתקנות (Ronel &amp; Elisha, 2011),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קרוטשניט (Kruttschnitt, 2013), בסקירה שיטתית של מחקר העשורים האחרונים, מסכמת שלושה ממצאי ליבה: ראשית, הפער המגדרי נותר "עמיד להפליא" בעבירות החמורות בכל שיטות המדידה; שנית, ההסברים הנתמכים ביותר הם חיברות מגדרי ופיקוח חברתי דיפרנציאלי, ולא הבדלים ביולוגיים; שלישית, מסלולי הכניסה של נשים לעבריינות שזורים בקורבנות קודמת, בעוני ובתלות בבני זוג עבריינים, ומכאן שנדרשת מדיניות ענישה ושיקום מגדרית-רגישה (Gender-Responsive).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קלי ועמיתיו (Kelly et al., 2015) ערכו מטא-אנליזה של 62 מחקרים על הקשר שבין דתיות לעבריינות ולשימוש בסמים. הממצא המצרפי מובהק ועקבי: דתיות מתואמת שלילית עם עבריינות, והאפקט חזק במיוחד ביחס לשימוש בסמים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הייגן: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שצ'סני-לינד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(Ronel &amp; Elisha, 2011; בן יאיר,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המטא-אנליזה של קלי ועמיתיו (Kelly et al., 2015)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גוד, א' (2002). על הסטייה. האוניברסיטה הפתוחה.</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709" w:hanging="709"/>
        <w:jc w:val="right"/>
      </w:pPr>
      <w:r>
        <w:rPr>
          <w:rFonts w:ascii="David" w:cs="David" w:eastAsia="David" w:hAnsi="David"/>
          <w:sz w:val="24"/>
          <w:szCs w:val="24"/>
          <w:rtl/>
        </w:rPr>
        <w:t xml:space="preserve">שוהם, ש"ג, אדד, מ' ורהב, ג' (2004). קרימינולוגיה. שוקן.</w:t>
      </w:r>
    </w:p>
    <w:p>
      <w:pPr>
        <w:bidi w:val="false"/>
        <w:spacing w:after="160" w:line="360"/>
        <w:ind w:left="709" w:hanging="709"/>
        <w:jc w:val="left"/>
      </w:pPr>
      <w:r>
        <w:rPr>
          <w:rFonts w:ascii="Times New Roman" w:cs="Times New Roman" w:eastAsia="Times New Roman" w:hAnsi="Times New Roman"/>
          <w:sz w:val="24"/>
          <w:szCs w:val="24"/>
        </w:rPr>
        <w:t xml:space="preserve">Adler, F. (1975). Sisters in crime: The rise of the new female criminal. McGraw-Hill.</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Broidy, L., &amp; Agnew, R. (1997). Gender and crime: A general strain theory perspective. Journal of Research in Crime and Delinquency, 34(3), 275-306.</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Chesney-Lind, M. (1989). Girls’ crime and woman’s place: Toward a feminist model of female delinquency. Crime &amp; Delinquency, 35(1), 5-29.</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Hagan, J., Gillis, A. R., &amp; Simpson, J. (1985). The class structure of gender and delinquency: Toward a power-control theory of common delinquent behavior. American Journal of Sociology, 90(6), 1151-1178.</w:t>
      </w:r>
    </w:p>
    <w:p>
      <w:pPr>
        <w:bidi w:val="false"/>
        <w:spacing w:after="160" w:line="360"/>
        <w:ind w:left="709" w:hanging="709"/>
        <w:jc w:val="left"/>
      </w:pPr>
      <w:r>
        <w:rPr>
          <w:rFonts w:ascii="Times New Roman" w:cs="Times New Roman" w:eastAsia="Times New Roman" w:hAnsi="Times New Roman"/>
          <w:sz w:val="24"/>
          <w:szCs w:val="24"/>
        </w:rPr>
        <w:t xml:space="preserve">Hirschi, T., &amp; Stark, R. (1969). Hellfire and delinquency. Social Problems, 17(2), 202-213.</w:t>
      </w:r>
    </w:p>
    <w:p>
      <w:pPr>
        <w:bidi w:val="false"/>
        <w:spacing w:after="160" w:line="360"/>
        <w:ind w:left="709" w:hanging="709"/>
        <w:jc w:val="left"/>
      </w:pPr>
      <w:r>
        <w:rPr>
          <w:rFonts w:ascii="Times New Roman" w:cs="Times New Roman" w:eastAsia="Times New Roman" w:hAnsi="Times New Roman"/>
          <w:sz w:val="24"/>
          <w:szCs w:val="24"/>
        </w:rPr>
        <w:t xml:space="preserve">Kelly, P. E., Polanin, J. R., Jang, S. J., &amp; Johnson, B. R. (2015). Religion, delinquency, and drug use: A meta-analysis. Criminal Justice Review, 40(4), 505-523.</w:t>
      </w:r>
    </w:p>
    <w:p>
      <w:pPr>
        <w:bidi w:val="false"/>
        <w:spacing w:after="160" w:line="360"/>
        <w:ind w:left="709" w:hanging="709"/>
        <w:jc w:val="left"/>
      </w:pPr>
      <w:r>
        <w:rPr>
          <w:rFonts w:ascii="Times New Roman" w:cs="Times New Roman" w:eastAsia="Times New Roman" w:hAnsi="Times New Roman"/>
          <w:sz w:val="24"/>
          <w:szCs w:val="24"/>
        </w:rPr>
        <w:t xml:space="preserve">Kruttschnitt, C. (2013). Gender and crime. Annual Review of Sociology, 39, 291-308.</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Child Indicators Research, 10(4),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Pollak, O. (1950). The criminality of women. University of Pennsylvania Press.</w:t>
      </w:r>
    </w:p>
    <w:p>
      <w:pPr>
        <w:bidi w:val="false"/>
        <w:spacing w:after="160" w:line="360"/>
        <w:ind w:left="709" w:hanging="709"/>
        <w:jc w:val="left"/>
      </w:pPr>
      <w:r>
        <w:rPr>
          <w:rFonts w:ascii="Times New Roman" w:cs="Times New Roman" w:eastAsia="Times New Roman" w:hAnsi="Times New Roman"/>
          <w:sz w:val="24"/>
          <w:szCs w:val="24"/>
        </w:rPr>
        <w:t xml:space="preserve">Ronel, N., &amp; Elisha, E. (2011). A different perspective: Introducing positive criminology. International Journal of Offender Therapy and Comparative Criminology, 55(2), 305-325.</w:t>
      </w:r>
    </w:p>
    <w:p>
      <w:pPr>
        <w:bidi w:val="false"/>
        <w:spacing w:after="160" w:line="360"/>
        <w:ind w:left="709" w:hanging="709"/>
        <w:jc w:val="left"/>
      </w:pPr>
      <w:r>
        <w:rPr>
          <w:rFonts w:ascii="Times New Roman" w:cs="Times New Roman" w:eastAsia="Times New Roman" w:hAnsi="Times New Roman"/>
          <w:sz w:val="24"/>
          <w:szCs w:val="24"/>
        </w:rPr>
        <w:t xml:space="preserve">Sampson, R. J., &amp; Laub, J. H. (2003). Desistance from crime over the life course. In J. T. Mortimer &amp; M. J. Shanahan (Eds.), Handbook of the life course (pp. 295-309). Springer.</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Criminology, 55(4),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Simon, R. J. (1975). Women and crime. Lexington Books.</w:t>
      </w:r>
    </w:p>
    <w:p>
      <w:pPr>
        <w:bidi w:val="false"/>
        <w:spacing w:after="160" w:line="360"/>
        <w:ind w:left="709" w:hanging="709"/>
        <w:jc w:val="left"/>
      </w:pPr>
      <w:r>
        <w:rPr>
          <w:rFonts w:ascii="Times New Roman" w:cs="Times New Roman" w:eastAsia="Times New Roman" w:hAnsi="Times New Roman"/>
          <w:sz w:val="24"/>
          <w:szCs w:val="24"/>
        </w:rPr>
        <w:t xml:space="preserve">Steffensmeier, D., &amp; Allan, E. (1996). Gender and crime: Toward a gendered theory of female offending. Annual Review of Sociology, 22, 459-487.</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2026-08-18T19:17:44.349Z</dcterms:created>
  <dcterms:modified xsi:type="dcterms:W3CDTF">2026-08-18T19:17:44.349Z</dcterms:modified>
</cp:coreProperties>
</file>

<file path=docProps/custom.xml><?xml version="1.0" encoding="utf-8"?>
<Properties xmlns="http://schemas.openxmlformats.org/officeDocument/2006/custom-properties" xmlns:vt="http://schemas.openxmlformats.org/officeDocument/2006/docPropsVTypes"/>
</file>