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4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4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4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4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val="false"/>
          <w:sz w:val="32"/>
          <w:szCs w:val="32"/>
          <w:rtl/>
        </w:rPr>
        <w:t xml:space="preserve">إعداد الطّالب/ة: ________________</w:t>
      </w:r>
    </w:p>
    <w:p>
      <w:pPr>
        <w:bidi/>
        <w:spacing w:after="40" w:before="0" w:line="360" w:lineRule="auto"/>
        <w:jc w:val="center"/>
      </w:pPr>
      <w:r>
        <w:rPr>
          <w:rFonts w:ascii="Times New Roman" w:cs="Traditional Arabic" w:hAnsi="Times New Roman"/>
          <w:b w:val="false"/>
          <w:sz w:val="32"/>
          <w:szCs w:val="32"/>
          <w:rtl/>
        </w:rPr>
        <w:t xml:space="preserve">رقم الهويّة: ________________</w:t>
      </w:r>
    </w:p>
    <w:p>
      <w:pPr>
        <w:bidi/>
        <w:spacing w:after="40" w:before="0" w:line="360" w:lineRule="auto"/>
        <w:jc w:val="center"/>
      </w:pPr>
      <w:r>
        <w:rPr>
          <w:rFonts w:ascii="Times New Roman" w:cs="Traditional Arabic" w:hAnsi="Times New Roman"/>
          <w:b w:val="false"/>
          <w:sz w:val="32"/>
          <w:szCs w:val="32"/>
          <w:rtl/>
        </w:rPr>
        <w:t xml:space="preserve">بإرشاد: د. </w:t>
      </w:r>
      <w:r>
        <w:rPr>
          <w:rFonts w:ascii="Times New Roman" w:cs="Traditional Arabic" w:hAnsi="Times New Roman"/>
          <w:b w:val="false"/>
          <w:sz w:val="32"/>
          <w:szCs w:val="32"/>
          <w:rtl/>
        </w:rPr>
        <w:t xml:space="preserve">سمير كتّاني</w:t>
      </w:r>
    </w:p>
    <w:p>
      <w:pPr>
        <w:bidi/>
        <w:spacing w:after="4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4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قضيّة مفادها أنّ السّخرية في هذا النّصّ ليست زينة عابرة بل بنية ناظمة تنتظم الرّحلة كلّها. </w:t>
      </w:r>
      <w:r>
        <w:rPr>
          <w:rFonts w:ascii="Times New Roman" w:cs="Traditional Arabic" w:hAnsi="Times New Roman"/>
          <w:b w:val="false"/>
          <w:sz w:val="32"/>
          <w:szCs w:val="32"/>
          <w:rtl/>
        </w:rPr>
        <w:t xml:space="preserve">وعن هذه القضيّة ينبثق سؤال البحث: ما مظاهر السّخرية في الرّسالة، وبأيّ أدوات فنّيّة تحقّقت، وما الوظائف الّتي تؤدّيها؟</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ويسير في ثلاثة فصول: يقف الأوّل عند فنّ التّرسّل وأنواعه وأشكاله بوصفه القالب الّذي خرجت منه الرّسالة، ويعرض الثّاني لعصر المعرّي وحياته وثقافته وآثاره وظروف تأليف الرّسالة ردًّا على ابن القارح، ويرصد الثّالث، وهو الفصل التّطبيقيّ، موضوعات السّخرية في الرّسالة: من ابن القارح وتوبته وتملّقه، ومن الشّعراء والرّواة واللّغويّين ومقاييسهم في الرّواية والتّوثيق، ومن التّصوّرات الحسّيّة الشّائعة عن النّعيم والعذاب، ثمّ يحلّل أدواتها الفنّيّة: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وينتهي البحث إلى أنّ سخرية الغفران هزل يراد به الجدّ: نقد أدبيّ واجتماعيّ وفكريّ ألبسه المعرّي لبوس الضّحك، وأنّ قالب التّرسّل لم يكن قيدًا عليه بل ممكّنًا له، وأنّ السّخرية عنده تختلط بحنين مكبوت يمنحها عمقها الإنسانيّ. </w:t>
      </w:r>
      <w:r>
        <w:rPr>
          <w:rFonts w:ascii="Times New Roman" w:cs="Traditional Arabic" w:hAnsi="Times New Roman"/>
          <w:b w:val="false"/>
          <w:sz w:val="32"/>
          <w:szCs w:val="32"/>
          <w:rtl/>
        </w:rPr>
        <w:t xml:space="preserve">ويعتمد البحث على نصّ الرّسالة في طبعة كامل كيلاني وتحقيق بنت الشّاطئ، وعلى طائفة من الدّراسات العربيّة والأجنبيّة يشار إليها في مواضعها.</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المقدّمة</w:t>
      </w:r>
    </w:p>
    <w:p>
      <w:pPr>
        <w:bidi/>
        <w:spacing w:after="4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ابن القارح، وفي حقيقتها رحلة خياليّة إلى العالم الآخر يحاور فيها ابن القارح الشّعراء والرّواة واللّغويّين. </w:t>
      </w:r>
      <w:r>
        <w:rPr>
          <w:rFonts w:ascii="Times New Roman" w:cs="Traditional Arabic" w:hAnsi="Times New Roman"/>
          <w:b w:val="false"/>
          <w:sz w:val="32"/>
          <w:szCs w:val="32"/>
          <w:rtl/>
        </w:rPr>
        <w:t xml:space="preserve">وما يستوقف الدّارس أنّ السّخرية ليست فيها زينة عابرة، بل تكاد تكون العمود الفقريّ الّذي ينتظم الرّحلة كلّها: في اختيار الشّخوص، وفي المواقف، وفي المفارقة الدّائمة بين جلال الآخرة وصغائر المسائل الّتي ينشغل بها أهلها.</w:t>
      </w:r>
    </w:p>
    <w:p>
      <w:pPr>
        <w:bidi/>
        <w:spacing w:after="4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w:t>
      </w:r>
      <w:r>
        <w:rPr>
          <w:rFonts w:ascii="Times New Roman" w:cs="Traditional Arabic" w:hAnsi="Times New Roman"/>
          <w:b w:val="false"/>
          <w:sz w:val="32"/>
          <w:szCs w:val="32"/>
          <w:rtl/>
        </w:rPr>
        <w:t xml:space="preserve">وهذه هي الفجوة الّتي يحاول البحث الحاليّ الإسهام في سدّها. </w:t>
      </w:r>
      <w:r>
        <w:rPr>
          <w:rFonts w:ascii="Times New Roman" w:cs="Traditional Arabic" w:hAnsi="Times New Roman"/>
          <w:b w:val="false"/>
          <w:sz w:val="32"/>
          <w:szCs w:val="32"/>
          <w:rtl/>
        </w:rPr>
        <w:t xml:space="preserve">ويعود اختيار الموضوع إلى ما تثيره شخصيّة المعرّي من أسئلة بجرأتها الفكريّة، وإلى الرّغبة في فهم كيف يتحوّل قالب رسميّ كالرّسالة الأدبيّة إلى فضاء للهزل الجادّ والنّقد المقنّع.</w:t>
      </w:r>
    </w:p>
    <w:p>
      <w:pPr>
        <w:bidi/>
        <w:spacing w:after="40" w:before="0" w:line="360" w:lineRule="auto"/>
        <w:jc w:val="both"/>
      </w:pPr>
      <w:r>
        <w:rPr>
          <w:rFonts w:ascii="Times New Roman" w:cs="Traditional Arabic" w:hAnsi="Times New Roman"/>
          <w:b w:val="false"/>
          <w:sz w:val="32"/>
          <w:szCs w:val="32"/>
          <w:rtl/>
        </w:rPr>
        <w:t xml:space="preserve">وليس معنى ذلك أنّ سخرية الغفران أُغفلت إغفالًا تامًّا؛ فقد أفرد لها العقّاد فصلًا في مطالعاته، وقرأت بنت الشّاطئ الرّسالة قراءة نفسيّة رائدة، ودرس حسين الواد بنيتها القصصيّة، ووازن عماد أبو رحمة بينها وبين الكوميديا الإلهيّة، وعالجت حنان بن قيراط سخريتها بوصفها آليّة حجاجيّة</w:t>
      </w:r>
      <w:r>
        <w:rPr>
          <w:rStyle w:val="FootnoteReference"/>
        </w:rPr>
        <w:footnoteReference w:id="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غير أنّ هذه الجهود توزّعت بين مدخل نفسيّ وبنيويّ ومقارن وفلسفيّ، وبقي رصد مظاهر السّخرية رصدًا منظّمًا يجمع موضوعاتها وأدواتها وموقف صاحبها في إطار واحد حاجةً قائمة؛ وهو ما يتصدّى له هذا البحث.</w:t>
      </w:r>
    </w:p>
    <w:p>
      <w:pPr>
        <w:bidi/>
        <w:spacing w:after="4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w:t>
      </w:r>
      <w:r>
        <w:rPr>
          <w:rFonts w:ascii="Times New Roman" w:cs="Traditional Arabic" w:hAnsi="Times New Roman"/>
          <w:b w:val="false"/>
          <w:sz w:val="32"/>
          <w:szCs w:val="32"/>
          <w:rtl/>
        </w:rPr>
        <w:t xml:space="preserve">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w:t>
      </w:r>
      <w:r>
        <w:rPr>
          <w:rFonts w:ascii="Times New Roman" w:cs="Traditional Arabic" w:hAnsi="Times New Roman"/>
          <w:b w:val="false"/>
          <w:sz w:val="32"/>
          <w:szCs w:val="32"/>
          <w:rtl/>
        </w:rPr>
        <w:t xml:space="preserve">كيف وظّف المعرّي قالب التّرسّل في بناء نصّ ساخر؟ ب. </w:t>
      </w:r>
      <w:r>
        <w:rPr>
          <w:rFonts w:ascii="Times New Roman" w:cs="Traditional Arabic" w:hAnsi="Times New Roman"/>
          <w:b w:val="false"/>
          <w:sz w:val="32"/>
          <w:szCs w:val="32"/>
          <w:rtl/>
        </w:rPr>
        <w:t xml:space="preserve">ممّن يسخر المعرّي وممّ يسخر؟ ج. </w:t>
      </w:r>
      <w:r>
        <w:rPr>
          <w:rFonts w:ascii="Times New Roman" w:cs="Traditional Arabic" w:hAnsi="Times New Roman"/>
          <w:b w:val="false"/>
          <w:sz w:val="32"/>
          <w:szCs w:val="32"/>
          <w:rtl/>
        </w:rPr>
        <w:t xml:space="preserve">ما موقف الكاتب نفسه ممّا يسخر منه؟</w:t>
      </w:r>
    </w:p>
    <w:p>
      <w:pPr>
        <w:bidi/>
        <w:spacing w:after="40" w:before="0" w:line="360" w:lineRule="auto"/>
        <w:jc w:val="both"/>
      </w:pPr>
      <w:r>
        <w:rPr>
          <w:rFonts w:ascii="Times New Roman" w:cs="Traditional Arabic" w:hAnsi="Times New Roman"/>
          <w:b w:val="false"/>
          <w:sz w:val="32"/>
          <w:szCs w:val="32"/>
          <w:rtl/>
        </w:rPr>
        <w:t xml:space="preserve">ويحسن منذ البدء تحديد المفهوم المركزيّ: فالمقصود بالسّخرية هنا طريقة في التّعبير تقلب المعنى إلى عكس ما يقصده الكاتب حقيقةً، فتحمل النّقد في صورة الضّحك</w:t>
      </w:r>
      <w:r>
        <w:rPr>
          <w:rStyle w:val="FootnoteReference"/>
        </w:rPr>
        <w:footnoteReference w:id="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إجرائيًّا فسيعدّ البحث من مظاهر السّخرية كلّ موضع في الرّسالة تقوم دلالته على مفارقة بين ظاهر القول وباطنه، أو بين جلال المقام وصغر الموضوع، أو على محاكاة هازئة لخطاب قائم. </w:t>
      </w:r>
      <w:r>
        <w:rPr>
          <w:rFonts w:ascii="Times New Roman" w:cs="Traditional Arabic" w:hAnsi="Times New Roman"/>
          <w:b w:val="false"/>
          <w:sz w:val="32"/>
          <w:szCs w:val="32"/>
          <w:rtl/>
        </w:rPr>
        <w:t xml:space="preserve">وبهذا الضّابط تتميّز السّخرية من مجرّد الفكاهة العابرة، ويصير رصدها في النّصّ قابلًا للفحص.</w:t>
      </w:r>
    </w:p>
    <w:p>
      <w:pPr>
        <w:bidi/>
        <w:spacing w:after="40" w:before="0" w:line="360" w:lineRule="auto"/>
        <w:jc w:val="both"/>
      </w:pPr>
      <w:r>
        <w:rPr>
          <w:rFonts w:ascii="Times New Roman" w:cs="Traditional Arabic" w:hAnsi="Times New Roman"/>
          <w:b w:val="false"/>
          <w:sz w:val="32"/>
          <w:szCs w:val="32"/>
          <w:rtl/>
        </w:rPr>
        <w:t xml:space="preserve">وتكمن أهمّيّة البحث في جانبين: نظريّ يختبر صلاحية مصطلح السّخرية أداةً لقراءة نصّ تراثيّ كبير، وتطبيقيّ يقدّم قراءة منظّمة يمكن الإفادة منها في تدريس النّثر العبّاسيّ والنّقد القديم.</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في ثلاثة فصول تسبقها هذه المقدّمة وتليها خاتمة: فنّ التّرسّل الّذي خرجت الرّسالة من معطفه، فحياة المعرّي وآثاره بوصفها سياق النّصّ، فالفصل التّطبيقيّ الّذي يرصد مظاهر السّخرية ويحلّل موضوعاتها وأدواتها.</w:t>
      </w:r>
    </w:p>
    <w:p>
      <w:pPr>
        <w:bidi/>
        <w:spacing w:after="4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3"/>
      </w:r>
      <w:r>
        <w:rPr>
          <w:rFonts w:ascii="Times New Roman" w:cs="Traditional Arabic" w:hAnsi="Times New Roman"/>
          <w:b w:val="false"/>
          <w:sz w:val="32"/>
          <w:szCs w:val="32"/>
          <w:rtl/>
        </w:rPr>
        <w:t xml:space="preserve">، ودراسات في المعرّي وعصره وفي النّثر العبّاسيّ والسّخرية، عربيّةً وأجنبيّةً، يشار إليها في مواضعها من الحواشي.</w:t>
      </w:r>
    </w:p>
    <w:p>
      <w:pPr>
        <w:bidi/>
        <w:spacing w:after="40" w:before="0" w:line="360" w:lineRule="auto"/>
        <w:jc w:val="both"/>
      </w:pPr>
      <w:r>
        <w:rPr>
          <w:rFonts w:ascii="Times New Roman" w:cs="Traditional Arabic" w:hAnsi="Times New Roman"/>
          <w:b w:val="false"/>
          <w:sz w:val="32"/>
          <w:szCs w:val="32"/>
          <w:rtl/>
        </w:rPr>
        <w:t xml:space="preserve">وحدّ البحث أنّه يقف عند قسم الرّحلة بالدّرجة الأولى، موضعِ القصّ والسّخرية، مجتزئًا منه نماذج دالّة من غير ادّعاء الإحاطة بكلّ المشاهد.</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keepNext/>
        <w:bidi/>
        <w:spacing w:after="80" w:before="160" w:line="360" w:lineRule="auto"/>
        <w:jc w:val="right"/>
      </w:pPr>
      <w:r>
        <w:rPr>
          <w:rFonts w:ascii="Times New Roman" w:cs="Traditional Arabic" w:hAnsi="Times New Roman"/>
          <w:b/>
          <w:bCs/>
          <w:sz w:val="36"/>
          <w:szCs w:val="36"/>
          <w:rtl/>
        </w:rPr>
        <w:t xml:space="preserve">1.1 مفهوم التّرسّل لغةً واصطلاحًا</w:t>
      </w:r>
    </w:p>
    <w:p>
      <w:pPr>
        <w:bidi/>
        <w:spacing w:after="4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w:t>
      </w:r>
      <w:r>
        <w:rPr>
          <w:rFonts w:ascii="Times New Roman" w:cs="Traditional Arabic" w:hAnsi="Times New Roman"/>
          <w:b w:val="false"/>
          <w:sz w:val="32"/>
          <w:szCs w:val="32"/>
          <w:rtl/>
        </w:rPr>
        <w:t xml:space="preserve">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40" w:before="0" w:line="360" w:lineRule="auto"/>
        <w:jc w:val="both"/>
      </w:pPr>
      <w:r>
        <w:rPr>
          <w:rFonts w:ascii="Times New Roman" w:cs="Traditional Arabic" w:hAnsi="Times New Roman"/>
          <w:b w:val="false"/>
          <w:sz w:val="32"/>
          <w:szCs w:val="32"/>
          <w:rtl/>
        </w:rPr>
        <w:t xml:space="preserve">وينبغي فهم هذا الفنّ داخل الإطار الواسع لمصطلح "الأدب" في الموروث الكلاسيكيّ؛ فقد بيّن سمير كتّاني أنّ اللفظة شملت شتّى صنوف المعارف والفنون، واستخدمها المهتمّون بالوصف النّظريّ للحضارة كابن المقفّع ومسكويه، والمهتمّون بالأدب الجميل كالجاحظ والمبرّد والثّعالبيّ</w:t>
      </w:r>
      <w:r>
        <w:rPr>
          <w:rStyle w:val="FootnoteReference"/>
        </w:rPr>
        <w:footnoteReference w:id="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ويذكر كتّاني أنّ الدّراسة الّتي قام بها المستشرق الإيطاليّ كارلو نالينو في استعراض المعاني الكلاسيكيّة للمصطلح تعدّ أبرز دراسة في هذا المضمار، وقد ترجم كتابه إلى العربيّة تحت الاسم تاريخ الآداب العربيّة</w:t>
      </w:r>
      <w:r>
        <w:rPr>
          <w:rStyle w:val="FootnoteReference"/>
        </w:rPr>
        <w:footnoteReference w:id="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هذا الإطار الرّحب كانت الرّسالة الأدبيّة وعاءً معرفيًّا يتّسع للّغة والنّقد والفكر، لا مجرّد وسيلة اتّصال عمليّة.</w:t>
      </w:r>
    </w:p>
    <w:p>
      <w:pPr>
        <w:bidi/>
        <w:spacing w:after="40" w:before="0" w:line="360" w:lineRule="auto"/>
        <w:jc w:val="both"/>
      </w:pPr>
      <w:r>
        <w:rPr>
          <w:rFonts w:ascii="Times New Roman" w:cs="Traditional Arabic" w:hAnsi="Times New Roman"/>
          <w:b w:val="false"/>
          <w:sz w:val="32"/>
          <w:szCs w:val="32"/>
          <w:rtl/>
        </w:rPr>
        <w:t xml:space="preserve">وفي الاصطلاح: التّرسّل قسيم الخطابة، كلاهما مخاطبة بقصد الإفهام والتّأثير، غير أنّ الخطابة مشافهة والتّرسّل كتابة؛ وقد رصد زكي مبارك وشوقي ضيف تطوّره من البساطة المرسلة إلى الصّنعة المسجوعة</w:t>
      </w:r>
      <w:r>
        <w:rPr>
          <w:rStyle w:val="FootnoteReference"/>
        </w:rPr>
        <w:footnoteReference w:id="6"/>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40" w:before="0" w:line="360" w:lineRule="auto"/>
        <w:jc w:val="both"/>
      </w:pPr>
      <w:r>
        <w:rPr>
          <w:rFonts w:ascii="Times New Roman" w:cs="Traditional Arabic" w:hAnsi="Times New Roman"/>
          <w:b w:val="false"/>
          <w:sz w:val="32"/>
          <w:szCs w:val="32"/>
          <w:rtl/>
        </w:rPr>
        <w:t xml:space="preserve">عرفت العربيّة الرّسائل منذ صدر الإسلام رسائلَ قصيرةً عمليّةً؛ فلمّا اتّسعت الدّولة في العصر الأمويّ نشأ ديوان الرّسائل وظهر الكتّاب المحترفون، وعلى رأسهم عبد الحميد الكاتب الّذي وسّع الرّسالة وأدخل فيها المقدّمات والدّعاء، حتّى قيل: فُتحت الرّسائل بعبد الحميد وخُتمت بابن العميد</w:t>
      </w:r>
      <w:r>
        <w:rPr>
          <w:rStyle w:val="FootnoteReference"/>
        </w:rPr>
        <w:footnoteReference w:id="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8"/>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البيئة المشبعة بالصّنعة تعلّم المعرّي وكتب.</w:t>
      </w:r>
    </w:p>
    <w:p>
      <w:pPr>
        <w:pStyle w:val="Heading2"/>
        <w:keepNext/>
        <w:bidi/>
        <w:spacing w:after="80" w:before="160" w:line="360" w:lineRule="auto"/>
        <w:jc w:val="right"/>
      </w:pPr>
      <w:r>
        <w:rPr>
          <w:rFonts w:ascii="Times New Roman" w:cs="Traditional Arabic" w:hAnsi="Times New Roman"/>
          <w:b/>
          <w:bCs/>
          <w:sz w:val="36"/>
          <w:szCs w:val="36"/>
          <w:rtl/>
        </w:rPr>
        <w:t xml:space="preserve">1.3 أنواع الرّسائل وأشكالها</w:t>
      </w:r>
    </w:p>
    <w:p>
      <w:pPr>
        <w:bidi/>
        <w:spacing w:after="4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w:t>
      </w:r>
      <w:r>
        <w:rPr>
          <w:rFonts w:ascii="Times New Roman" w:cs="Traditional Arabic" w:hAnsi="Times New Roman"/>
          <w:b w:val="false"/>
          <w:sz w:val="32"/>
          <w:szCs w:val="32"/>
          <w:rtl/>
        </w:rPr>
        <w:t xml:space="preserve">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w:t>
      </w:r>
      <w:r>
        <w:rPr>
          <w:rFonts w:ascii="Times New Roman" w:cs="Traditional Arabic" w:hAnsi="Times New Roman"/>
          <w:b w:val="false"/>
          <w:sz w:val="32"/>
          <w:szCs w:val="32"/>
          <w:rtl/>
        </w:rPr>
        <w:t xml:space="preserve">وثانيها الرّسائل الإخوانيّة الّتي تجري بين الأدباء والأصدقاء في التّهنئة والتّعزية والشّكر والعتاب والشّوق والاستزارة، وفيها تظهر عواطف الكاتب وذوقه. </w:t>
      </w:r>
      <w:r>
        <w:rPr>
          <w:rFonts w:ascii="Times New Roman" w:cs="Traditional Arabic" w:hAnsi="Times New Roman"/>
          <w:b w:val="false"/>
          <w:sz w:val="32"/>
          <w:szCs w:val="32"/>
          <w:rtl/>
        </w:rPr>
        <w:t xml:space="preserve">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40" w:before="0" w:line="360" w:lineRule="auto"/>
        <w:jc w:val="both"/>
      </w:pPr>
      <w:r>
        <w:rPr>
          <w:rFonts w:ascii="Times New Roman" w:cs="Traditional Arabic" w:hAnsi="Times New Roman"/>
          <w:b w:val="false"/>
          <w:sz w:val="32"/>
          <w:szCs w:val="32"/>
          <w:rtl/>
        </w:rPr>
        <w:t xml:space="preserve">ولكلّ نوع أعلامه: فللدّيوانيّات عبد الحميد وابن العميد، وللإخوانيّات الصّاحب والخوارزميّ وبديع الزّمان، وللرّسائل الأدبيّة الجاحظ قبلهم جميعًا. </w:t>
      </w:r>
      <w:r>
        <w:rPr>
          <w:rFonts w:ascii="Times New Roman" w:cs="Traditional Arabic" w:hAnsi="Times New Roman"/>
          <w:b w:val="false"/>
          <w:sz w:val="32"/>
          <w:szCs w:val="32"/>
          <w:rtl/>
        </w:rPr>
        <w:t xml:space="preserve">ورسالة الغفران بهذا التّقسيم رسالة أدبيّة في المقام الأوّل، لكنّها تفتتح كما تفتتح الإخوانيّات بالثّناء على المرسَل إليه والدّعاء له، وهذا المزج جزء من لعبتها كما سيتبيّن.</w:t>
      </w:r>
    </w:p>
    <w:p>
      <w:pPr>
        <w:bidi/>
        <w:spacing w:after="4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w:t>
      </w:r>
      <w:r>
        <w:rPr>
          <w:rFonts w:ascii="Times New Roman" w:cs="Traditional Arabic" w:hAnsi="Times New Roman"/>
          <w:b w:val="false"/>
          <w:sz w:val="32"/>
          <w:szCs w:val="32"/>
          <w:rtl/>
        </w:rPr>
        <w:t xml:space="preserve">وهذا التّداخل بالذّات هو ما استثمره المعرّي في رسالة الغفران كما سيأتي.</w:t>
      </w:r>
    </w:p>
    <w:p>
      <w:pPr>
        <w:bidi/>
        <w:spacing w:after="40" w:before="0" w:line="360" w:lineRule="auto"/>
        <w:jc w:val="both"/>
      </w:pPr>
      <w:r>
        <w:rPr>
          <w:rFonts w:ascii="Times New Roman" w:cs="Traditional Arabic" w:hAnsi="Times New Roman"/>
          <w:b w:val="false"/>
          <w:sz w:val="32"/>
          <w:szCs w:val="32"/>
          <w:rtl/>
        </w:rPr>
        <w:t xml:space="preserve">وتعدّدت أشكال الرّسالة من التّوقيع الموجز إلى الرّسالة المطوّلة الّتي تبلغ حجم الكتاب؛ وعلى هذا الطّرف الأخير تقع رسالة الغفران، فهي في المطبوع مئات الصّفحات، ممّا يدلّ على أنّ الصّيغة صارت إطارًا تنظيميًّا أكثر منها قيدًا على الحجم.</w:t>
      </w:r>
    </w:p>
    <w:p>
      <w:pPr>
        <w:bidi/>
        <w:spacing w:after="40" w:before="0" w:line="360" w:lineRule="auto"/>
        <w:jc w:val="both"/>
      </w:pPr>
      <w:r>
        <w:rPr>
          <w:rFonts w:ascii="Times New Roman" w:cs="Traditional Arabic" w:hAnsi="Times New Roman"/>
          <w:b w:val="false"/>
          <w:sz w:val="32"/>
          <w:szCs w:val="32"/>
          <w:rtl/>
        </w:rPr>
        <w:t xml:space="preserve">وقد غلبت على كتابة هذه الحقبة خصائص أسلوبيّة كتبت الغفران بها جميعًا: السّجع، والازدواج، والاقتباس، واستعراض الغريب. </w:t>
      </w:r>
      <w:r>
        <w:rPr>
          <w:rFonts w:ascii="Times New Roman" w:cs="Traditional Arabic" w:hAnsi="Times New Roman"/>
          <w:b w:val="false"/>
          <w:sz w:val="32"/>
          <w:szCs w:val="32"/>
          <w:rtl/>
        </w:rPr>
        <w:t xml:space="preserve">وممّا يلحظه الباحث أنّ هذه الصّنعة نفسها تدخل عند المعرّي في لعبة السّخرية: فالسّجع المتكلّف والغريب المتقعّر يساقان في مواضع الهزل، فيصير التّأنّق الأسلوبيّ ذاته موضع ابتسام؛ وهي ملاحظة سيبني عليها الفصل الثّالث.</w:t>
      </w:r>
    </w:p>
    <w:p>
      <w:pPr>
        <w:pStyle w:val="Heading2"/>
        <w:keepNext/>
        <w:bidi/>
        <w:spacing w:after="80" w:before="160" w:line="360" w:lineRule="auto"/>
        <w:jc w:val="right"/>
      </w:pPr>
      <w:r>
        <w:rPr>
          <w:rFonts w:ascii="Times New Roman" w:cs="Traditional Arabic" w:hAnsi="Times New Roman"/>
          <w:b/>
          <w:bCs/>
          <w:sz w:val="36"/>
          <w:szCs w:val="36"/>
          <w:rtl/>
        </w:rPr>
        <w:t xml:space="preserve">1.4 الرّسالة الأدبيّة قالبًا للسّرد والخيال</w:t>
      </w:r>
    </w:p>
    <w:p>
      <w:pPr>
        <w:bidi/>
        <w:spacing w:after="4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w:t>
      </w:r>
      <w:r>
        <w:rPr>
          <w:rFonts w:ascii="Times New Roman" w:cs="Traditional Arabic" w:hAnsi="Times New Roman"/>
          <w:b w:val="false"/>
          <w:sz w:val="32"/>
          <w:szCs w:val="32"/>
          <w:rtl/>
        </w:rPr>
        <w:t xml:space="preserve">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10"/>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4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w:t>
      </w:r>
      <w:r>
        <w:rPr>
          <w:rFonts w:ascii="Times New Roman" w:cs="Traditional Arabic" w:hAnsi="Times New Roman"/>
          <w:b w:val="false"/>
          <w:sz w:val="32"/>
          <w:szCs w:val="32"/>
          <w:rtl/>
        </w:rPr>
        <w:t xml:space="preserve">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1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keepNext/>
        <w:bidi/>
        <w:spacing w:after="80" w:before="160" w:line="360" w:lineRule="auto"/>
        <w:jc w:val="right"/>
      </w:pPr>
      <w:r>
        <w:rPr>
          <w:rFonts w:ascii="Times New Roman" w:cs="Traditional Arabic" w:hAnsi="Times New Roman"/>
          <w:b/>
          <w:bCs/>
          <w:sz w:val="36"/>
          <w:szCs w:val="36"/>
          <w:rtl/>
        </w:rPr>
        <w:t xml:space="preserve">1.5 التّرسّل عند المعرّي قبل الغفران</w:t>
      </w:r>
    </w:p>
    <w:p>
      <w:pPr>
        <w:bidi/>
        <w:spacing w:after="4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4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اجتمع فيها الخيال الأخرويّ من رسالة الملائكة، والتّعريض من الصّاهل والشّاحج، وأدب المجاملة من رسائله، ثمّ زادت بالبناء القصصيّ المحكم الّذي جعل بعض المحدثين يقرؤونها بوصفها عملًا روائيًّا مبكّرًا؛ وفي طليعتهم حسين الواد الّذي درس بنيتها القصصيّة دراسة كاملة</w:t>
      </w:r>
      <w:r>
        <w:rPr>
          <w:rStyle w:val="FootnoteReference"/>
        </w:rPr>
        <w:footnoteReference w:id="1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keepNext/>
        <w:bidi/>
        <w:spacing w:after="80" w:before="160" w:line="360" w:lineRule="auto"/>
        <w:jc w:val="right"/>
      </w:pPr>
      <w:r>
        <w:rPr>
          <w:rFonts w:ascii="Times New Roman" w:cs="Traditional Arabic" w:hAnsi="Times New Roman"/>
          <w:b/>
          <w:bCs/>
          <w:sz w:val="36"/>
          <w:szCs w:val="36"/>
          <w:rtl/>
        </w:rPr>
        <w:t xml:space="preserve">2.1 عصره وبيئته</w:t>
      </w:r>
    </w:p>
    <w:p>
      <w:pPr>
        <w:bidi/>
        <w:spacing w:after="4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وقد فقدت الخلافة العبّاسيّة سلطانها الفعليّ؛ ووصف طه حسين سياسة العصر بحالتين: سلطة فعليّة للخلفاء قبل أبي العلاء، وسلطة اسميّة في عصره وما بعده</w:t>
      </w:r>
      <w:r>
        <w:rPr>
          <w:rStyle w:val="FootnoteReference"/>
        </w:rPr>
        <w:footnoteReference w:id="1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4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4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المتنازعة وتوظيف الدّين والعلم في طلب المنافع وضعا أمام المعرّي معرضًا يوميًّا من التّناقض بين القول والعمل؛ فسخرية الغفران أقرب إلى ردّ فعل عقل دقيق الملاحظة على عصر كثير الادّعاء.</w:t>
      </w:r>
    </w:p>
    <w:p>
      <w:pPr>
        <w:pStyle w:val="Heading2"/>
        <w:keepNext/>
        <w:bidi/>
        <w:spacing w:after="80" w:before="16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4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w:t>
      </w:r>
      <w:r>
        <w:rPr>
          <w:rFonts w:ascii="Times New Roman" w:cs="Traditional Arabic" w:hAnsi="Times New Roman"/>
          <w:b w:val="false"/>
          <w:sz w:val="32"/>
          <w:szCs w:val="32"/>
          <w:rtl/>
        </w:rPr>
        <w:t xml:space="preserve">وهذا هو السّبب في تلقيبه بلقب "رهين المحبسين": محبس العمى ومحبس المنزل</w:t>
      </w:r>
      <w:r>
        <w:rPr>
          <w:rStyle w:val="FootnoteReference"/>
        </w:rPr>
        <w:footnoteReference w:id="1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جعل طه حسين من هذه السّجون الثّلاثة مدخلًا لكتابه عن فلسفة الرّجل</w:t>
      </w:r>
      <w:r>
        <w:rPr>
          <w:rStyle w:val="FootnoteReference"/>
        </w:rPr>
        <w:footnoteReference w:id="2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2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w:t>
      </w:r>
      <w:r>
        <w:rPr>
          <w:rFonts w:ascii="Times New Roman" w:cs="Traditional Arabic" w:hAnsi="Times New Roman"/>
          <w:b w:val="false"/>
          <w:sz w:val="32"/>
          <w:szCs w:val="32"/>
          <w:rtl/>
        </w:rPr>
        <w:t xml:space="preserve">وقد وقف على قبره جمع غفير من أدباء عصره وشعرائه ورثَوه بثمانين مرثاة</w:t>
      </w:r>
      <w:r>
        <w:rPr>
          <w:rStyle w:val="FootnoteReference"/>
        </w:rPr>
        <w:footnoteReference w:id="22"/>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واقتصر في مطعمه على النّبات ورفض التّكسّب بشعره ولم يتزوّج، إمعانًا في مذهبه الّذي لخّصته وصيّته. </w:t>
      </w:r>
      <w:r>
        <w:rPr>
          <w:rFonts w:ascii="Times New Roman" w:cs="Traditional Arabic" w:hAnsi="Times New Roman"/>
          <w:b w:val="false"/>
          <w:sz w:val="32"/>
          <w:szCs w:val="32"/>
          <w:rtl/>
        </w:rPr>
        <w:t xml:space="preserve">وليس هذا الزّهد تفصيلًا هامشيًّا؛ فالسّاخر الّذي لا يطلب جاهًا ولا مالًا يملك من حرّيّة القول ما لا يملكه المتكسّبون.</w:t>
      </w:r>
    </w:p>
    <w:p>
      <w:pPr>
        <w:bidi/>
        <w:spacing w:after="40" w:before="0" w:line="360" w:lineRule="auto"/>
        <w:jc w:val="both"/>
      </w:pPr>
      <w:r>
        <w:rPr>
          <w:rFonts w:ascii="Times New Roman" w:cs="Traditional Arabic" w:hAnsi="Times New Roman"/>
          <w:b w:val="false"/>
          <w:sz w:val="32"/>
          <w:szCs w:val="32"/>
          <w:rtl/>
        </w:rPr>
        <w:t xml:space="preserve">وكان أبو العلاء متوقّد الذّهن عجيب الحفظ؛ يروي شلتوت أنّه سمع كلامًا بالآذريّة في مجلسه فأعاده بحروفه من غير أن يفهم منه شيئًا</w:t>
      </w:r>
      <w:r>
        <w:rPr>
          <w:rStyle w:val="FootnoteReference"/>
        </w:rPr>
        <w:footnoteReference w:id="2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عند ياقوت الحمويّ صاحب صيت وشهرة بالعلم لغةً ونحوًا وفلسفةً، وجزالة في الكلام نثرًا وشعرًا</w:t>
      </w:r>
      <w:r>
        <w:rPr>
          <w:rStyle w:val="FootnoteReference"/>
        </w:rPr>
        <w:footnoteReference w:id="24"/>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2.3 ثقافته ومذهبه الفكريّ</w:t>
      </w:r>
    </w:p>
    <w:p>
      <w:pPr>
        <w:bidi/>
        <w:spacing w:after="4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وفلسفة جعلت بعض الدّارسين يعدّه مؤسّسًا للشّعر الفلسفيّ العربيّ؛ وهي عند توحيدي فر فلسفة يوميّة تتحسّس الشّؤون المتكرّرة في حياة البشر</w:t>
      </w:r>
      <w:r>
        <w:rPr>
          <w:rStyle w:val="FootnoteReference"/>
        </w:rPr>
        <w:footnoteReference w:id="2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واشتُهر بآراء أثارت الجدل وهاجمت تصوّرات معاصريه للدّين، حتّى اتّهمه كثيرون بالزّندقة؛ لكنّ بنت الشّاطئ تنفي عنه تلك التّهم، متّبعة خطوات أستاذها طه حسين الّذي وضع عنه غير كتاب وكان يرى نفسه إلى حدّ ما شبيهًا به</w:t>
      </w:r>
      <w:r>
        <w:rPr>
          <w:rStyle w:val="FootnoteReference"/>
        </w:rPr>
        <w:footnoteReference w:id="2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keepNext/>
        <w:bidi/>
        <w:spacing w:after="80" w:before="160" w:line="360" w:lineRule="auto"/>
        <w:jc w:val="right"/>
      </w:pPr>
      <w:r>
        <w:rPr>
          <w:rFonts w:ascii="Times New Roman" w:cs="Traditional Arabic" w:hAnsi="Times New Roman"/>
          <w:b/>
          <w:bCs/>
          <w:sz w:val="36"/>
          <w:szCs w:val="36"/>
          <w:rtl/>
        </w:rPr>
        <w:t xml:space="preserve">2.4 آثاره</w:t>
      </w:r>
    </w:p>
    <w:p>
      <w:pPr>
        <w:bidi/>
        <w:spacing w:after="40" w:before="0" w:line="360" w:lineRule="auto"/>
        <w:jc w:val="both"/>
      </w:pPr>
      <w:r>
        <w:rPr>
          <w:rFonts w:ascii="Times New Roman" w:cs="Traditional Arabic" w:hAnsi="Times New Roman"/>
          <w:b w:val="false"/>
          <w:sz w:val="32"/>
          <w:szCs w:val="32"/>
          <w:rtl/>
        </w:rPr>
        <w:t xml:space="preserve">خلّف المعرّي تراثًا ضخمًا شعرًا ونثرًا. </w:t>
      </w:r>
      <w:r>
        <w:rPr>
          <w:rFonts w:ascii="Times New Roman" w:cs="Traditional Arabic" w:hAnsi="Times New Roman"/>
          <w:b w:val="false"/>
          <w:sz w:val="32"/>
          <w:szCs w:val="32"/>
          <w:rtl/>
        </w:rPr>
        <w:t xml:space="preserve">أمّا شعره، وهو ديوان حكمته وفلسفته، فثلاثة أقسام: اللزوميّات، وسقط الزّند، وضوء السّقط</w:t>
      </w:r>
      <w:r>
        <w:rPr>
          <w:rStyle w:val="FootnoteReference"/>
        </w:rPr>
        <w:footnoteReference w:id="2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اللزوميّات، وهي أنضج شعره، ألزم نفسه في القافية ما لا يلزم، وضمّنها آراءه في الحياة والموت والنّاس والمعتقدات. </w:t>
      </w:r>
      <w:r>
        <w:rPr>
          <w:rFonts w:ascii="Times New Roman" w:cs="Traditional Arabic" w:hAnsi="Times New Roman"/>
          <w:b w:val="false"/>
          <w:sz w:val="32"/>
          <w:szCs w:val="32"/>
          <w:rtl/>
        </w:rPr>
        <w:t xml:space="preserve">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9"/>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4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3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31"/>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4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2"/>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w:t>
      </w:r>
      <w:r>
        <w:rPr>
          <w:rFonts w:ascii="Times New Roman" w:cs="Traditional Arabic" w:hAnsi="Times New Roman"/>
          <w:b w:val="false"/>
          <w:sz w:val="32"/>
          <w:szCs w:val="32"/>
          <w:rtl/>
        </w:rPr>
        <w:t xml:space="preserve">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w:t>
      </w:r>
      <w:r>
        <w:rPr>
          <w:rFonts w:ascii="Times New Roman" w:cs="Traditional Arabic" w:hAnsi="Times New Roman"/>
          <w:b w:val="false"/>
          <w:sz w:val="32"/>
          <w:szCs w:val="32"/>
          <w:rtl/>
        </w:rPr>
        <w:t xml:space="preserve">وبدأ المعرّي ردّه بوصف رسالة ابن القارح كلمةً طيّبةً أصلها ثابت وفرعها في السّماء، ثمّ استرسل بخياله إلى رفع صاحبها إلى الجنّة بفضل كلماته الطّيّبة</w:t>
      </w:r>
      <w:r>
        <w:rPr>
          <w:rStyle w:val="FootnoteReference"/>
        </w:rPr>
        <w:footnoteReference w:id="3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w:t>
      </w:r>
      <w:r>
        <w:rPr>
          <w:rFonts w:ascii="Times New Roman" w:cs="Traditional Arabic" w:hAnsi="Times New Roman"/>
          <w:b w:val="false"/>
          <w:sz w:val="32"/>
          <w:szCs w:val="32"/>
          <w:rtl/>
        </w:rPr>
        <w:t xml:space="preserve">وقد جرت العادة عند الدّارسين على العناية بالقسم الأوّل خاصّة، لأنّه موضع الإبداع القصصيّ والسّخريّ.</w:t>
      </w:r>
    </w:p>
    <w:p>
      <w:pPr>
        <w:bidi/>
        <w:spacing w:after="4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والحياة وضروب الإبداع، شاء المعرّي فيه، عبر الشّخصيّات الّتي يلتقيها ابن القارح، أن يعبّر عن تمزّقه هو بين إيمانه وشكّه ويأسه وأمله، متسائلًا عن مكان الإنسان في هذا الكون</w:t>
      </w:r>
      <w:r>
        <w:rPr>
          <w:rStyle w:val="FootnoteReference"/>
        </w:rPr>
        <w:footnoteReference w:id="3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فمن ناحية تكشف الرّسالة عن مؤمن يعيش إيمانه بكلّ جوارحه، وعن شكّاك لا يرى فائدة في الصّورة الّتي يصنعها المتكلّمون للدّين</w:t>
      </w:r>
      <w:r>
        <w:rPr>
          <w:rStyle w:val="FootnoteReference"/>
        </w:rPr>
        <w:footnoteReference w:id="3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وذاع صيت الرّسالة خارج العربيّة أيضًا: فقد عرّف المستشرق الإنجليزيّ نيكلسون القارئ الأوروبيّ بأبي العلاء وأدبه</w:t>
      </w:r>
      <w:r>
        <w:rPr>
          <w:rStyle w:val="FootnoteReference"/>
        </w:rPr>
        <w:footnoteReference w:id="37"/>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8"/>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وأيًّا كان الرّأي في هذه العلاقة، فإنّ مجرّد قيام المقارنة شاهد على المكانة الّتي بلغها هذا النّصّ.</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keepNext/>
        <w:bidi/>
        <w:spacing w:after="80" w:before="160" w:line="360" w:lineRule="auto"/>
        <w:jc w:val="right"/>
      </w:pPr>
      <w:r>
        <w:rPr>
          <w:rFonts w:ascii="Times New Roman" w:cs="Traditional Arabic" w:hAnsi="Times New Roman"/>
          <w:b/>
          <w:bCs/>
          <w:sz w:val="36"/>
          <w:szCs w:val="36"/>
          <w:rtl/>
        </w:rPr>
        <w:t xml:space="preserve">3.1 في مفهوم السّخرية</w:t>
      </w:r>
    </w:p>
    <w:p>
      <w:pPr>
        <w:bidi/>
        <w:spacing w:after="4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4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4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الهجاء الجاهليّ، وبلغت في نثر الجاحظ ذروة مبكّرة في البخلاء والتّربيع والتّدوير، حيث تتولّد الفكاهة من رسم الشّخصيّات لا من الشّتم؛ وقد رصد نعمان طه هذا الخطّ الممتدّ</w:t>
      </w:r>
      <w:r>
        <w:rPr>
          <w:rStyle w:val="FootnoteReference"/>
        </w:rPr>
        <w:footnoteReference w:id="42"/>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40" w:before="0" w:line="360" w:lineRule="auto"/>
        <w:jc w:val="both"/>
      </w:pPr>
      <w:r>
        <w:rPr>
          <w:rFonts w:ascii="Times New Roman" w:cs="Traditional Arabic" w:hAnsi="Times New Roman"/>
          <w:b w:val="false"/>
          <w:sz w:val="32"/>
          <w:szCs w:val="32"/>
          <w:rtl/>
        </w:rPr>
        <w:t xml:space="preserve">وتتميّز السّخرية من جارتيها: فالفكاهة إضحاك بريء لا يستهدف أحدًا، والهجاء عدوان مكشوف يسمّي خصمه، أمّا السّخرية فبينهما: فيها قصد النّقد وآليّة الإضحاك معًا، لكنّها تعمل بالإيحاء والمواربة؛ ولذلك كثيرًا ما كانت سلاح العقول الكبيرة المقيّدة، تتيح قول الخطر في صورة المباح. </w:t>
      </w:r>
      <w:r>
        <w:rPr>
          <w:rFonts w:ascii="Times New Roman" w:cs="Traditional Arabic" w:hAnsi="Times New Roman"/>
          <w:b w:val="false"/>
          <w:sz w:val="32"/>
          <w:szCs w:val="32"/>
          <w:rtl/>
        </w:rPr>
        <w:t xml:space="preserve">ومن هنا كان اختيارها مطابقًا لموقع المعرّي: رجل يرى ما لا يراه معاصروه، ولا يملك أن يقوله كلّه صراحةً.</w:t>
      </w:r>
    </w:p>
    <w:p>
      <w:pPr>
        <w:pStyle w:val="Heading2"/>
        <w:keepNext/>
        <w:bidi/>
        <w:spacing w:after="80" w:before="16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4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فالباعث الأوّل شخصيّ نقديّ: رجل يتملّق ويعلن توبة مشكوكًا في صدقها، فيكافئه المعرّي بردّ يظاهره التّرحيب ويبطن الامتحان.</w:t>
      </w:r>
    </w:p>
    <w:p>
      <w:pPr>
        <w:bidi/>
        <w:spacing w:after="40" w:before="0" w:line="360" w:lineRule="auto"/>
        <w:jc w:val="both"/>
      </w:pPr>
      <w:r>
        <w:rPr>
          <w:rFonts w:ascii="Times New Roman" w:cs="Traditional Arabic" w:hAnsi="Times New Roman"/>
          <w:b w:val="false"/>
          <w:sz w:val="32"/>
          <w:szCs w:val="32"/>
          <w:rtl/>
        </w:rPr>
        <w:t xml:space="preserve">وثمّة باعث أوسع: نقد العصر. </w:t>
      </w:r>
      <w:r>
        <w:rPr>
          <w:rFonts w:ascii="Times New Roman" w:cs="Traditional Arabic" w:hAnsi="Times New Roman"/>
          <w:b w:val="false"/>
          <w:sz w:val="32"/>
          <w:szCs w:val="32"/>
          <w:rtl/>
        </w:rPr>
        <w:t xml:space="preserve">فقد عُرف المعرّي بنقده لعصره بأسلوب ساخر يلمح به إلى حالة من عصره عن طريق أفعال الشّخصيّات أو المكان</w:t>
      </w:r>
      <w:r>
        <w:rPr>
          <w:rStyle w:val="FootnoteReference"/>
        </w:rPr>
        <w:footnoteReference w:id="4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4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5"/>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صحّ هذا التّأويل أم كان فيه من الإسقاط شيء، فإنّه يفسّر حرارة الوصف الحسّيّ الّذي تقوم عليه مبالغات الرّسالة السّاخرة.</w:t>
      </w:r>
    </w:p>
    <w:p>
      <w:pPr>
        <w:pStyle w:val="Heading2"/>
        <w:keepNext/>
        <w:bidi/>
        <w:spacing w:after="80" w:before="16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keepNext/>
        <w:bidi/>
        <w:spacing w:after="60" w:before="120" w:line="360" w:lineRule="auto"/>
        <w:jc w:val="right"/>
      </w:pPr>
      <w:r>
        <w:rPr>
          <w:rFonts w:ascii="Times New Roman" w:cs="Traditional Arabic" w:hAnsi="Times New Roman"/>
          <w:b/>
          <w:bCs/>
          <w:sz w:val="32"/>
          <w:szCs w:val="32"/>
          <w:rtl/>
        </w:rPr>
        <w:t xml:space="preserve">أ. السّخرية من ابن القارح</w:t>
      </w:r>
    </w:p>
    <w:p>
      <w:pPr>
        <w:bidi/>
        <w:spacing w:after="40" w:before="0" w:line="360" w:lineRule="auto"/>
        <w:jc w:val="both"/>
      </w:pPr>
      <w:r>
        <w:rPr>
          <w:rFonts w:ascii="Times New Roman" w:cs="Traditional Arabic" w:hAnsi="Times New Roman"/>
          <w:b w:val="false"/>
          <w:sz w:val="32"/>
          <w:szCs w:val="32"/>
          <w:rtl/>
        </w:rPr>
        <w:t xml:space="preserve">ابن القارح هو الهدف الأوّل والأظهر. </w:t>
      </w:r>
      <w:r>
        <w:rPr>
          <w:rFonts w:ascii="Times New Roman" w:cs="Traditional Arabic" w:hAnsi="Times New Roman"/>
          <w:b w:val="false"/>
          <w:sz w:val="32"/>
          <w:szCs w:val="32"/>
          <w:rtl/>
        </w:rPr>
        <w:t xml:space="preserve">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7"/>
      </w:r>
    </w:p>
    <w:p>
      <w:pPr>
        <w:bidi/>
        <w:spacing w:after="4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8"/>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ولننظر في النّصّ نفسه: يقف ابن القارح بباب الجنّة فيقول لرضوان: "أنا رجل لا صبر لي على العطش، وقد استطلت مدّة الحساب، ومعي صكّ بالتّوبة... </w:t>
      </w:r>
      <w:r>
        <w:rPr>
          <w:rFonts w:ascii="Times New Roman" w:cs="Traditional Arabic" w:hAnsi="Times New Roman"/>
          <w:b w:val="false"/>
          <w:sz w:val="32"/>
          <w:szCs w:val="32"/>
          <w:rtl/>
        </w:rPr>
        <w:t xml:space="preserve">وقد مدحتك بأشعار كثيرة، ووسمتها باسمك"</w:t>
      </w:r>
      <w:r>
        <w:rPr>
          <w:rStyle w:val="FootnoteReference"/>
        </w:rPr>
        <w:footnoteReference w:id="49"/>
      </w:r>
      <w:r>
        <w:rPr>
          <w:rFonts w:ascii="Times New Roman" w:cs="Traditional Arabic" w:hAnsi="Times New Roman"/>
          <w:b w:val="false"/>
          <w:sz w:val="32"/>
          <w:szCs w:val="32"/>
          <w:rtl/>
        </w:rPr>
        <w:t xml:space="preserve">، فيأتيه الجواب الّذي يهدم صنعة العمر كلّه: "وما الأشعار؟"</w:t>
      </w:r>
      <w:r>
        <w:rPr>
          <w:rStyle w:val="FootnoteReference"/>
        </w:rPr>
        <w:footnoteReference w:id="5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فالملاك لا يجهل قصيدة المديح وحدها بل يجهل الشّعر أصلًا، فيضطرّ الأديب إلى تعريفه له، معترفًا من حيث لا يقصد بأنّ أهل العاجلة كانوا يتقرّبون به إلى الملوك والسّادات؛ أي أنّ المديح رشوة مقنّعة. </w:t>
      </w:r>
    </w:p>
    <w:p>
      <w:pPr>
        <w:bidi/>
        <w:spacing w:after="40" w:before="0" w:line="360" w:lineRule="auto"/>
        <w:jc w:val="both"/>
      </w:pPr>
      <w:r>
        <w:rPr>
          <w:rFonts w:ascii="Times New Roman" w:cs="Traditional Arabic" w:hAnsi="Times New Roman"/>
          <w:b w:val="false"/>
          <w:sz w:val="32"/>
          <w:szCs w:val="32"/>
          <w:rtl/>
        </w:rPr>
        <w:t xml:space="preserve">ثمّ يعود فيجرّب الحيلة نفسها مع حمزة بن عبد المطّلب قائلًا لنفسه "الكذوب" إنّ الشّعر عند هذا أنفق</w:t>
      </w:r>
      <w:r>
        <w:rPr>
          <w:rStyle w:val="FootnoteReference"/>
        </w:rPr>
        <w:footnoteReference w:id="51"/>
      </w:r>
      <w:r>
        <w:rPr>
          <w:rFonts w:ascii="Times New Roman" w:cs="Traditional Arabic" w:hAnsi="Times New Roman"/>
          <w:b w:val="false"/>
          <w:sz w:val="32"/>
          <w:szCs w:val="32"/>
          <w:rtl/>
        </w:rPr>
        <w:t xml:space="preserve">؛ فتتضاعف السّخرية: الرّجل لا يتعلّم من فشله، لأنّ التّملّق عنده طبع لا حيلة. </w:t>
      </w:r>
      <w:r>
        <w:rPr>
          <w:rFonts w:ascii="Times New Roman" w:cs="Traditional Arabic" w:hAnsi="Times New Roman"/>
          <w:b w:val="false"/>
          <w:sz w:val="32"/>
          <w:szCs w:val="32"/>
          <w:rtl/>
        </w:rPr>
        <w:t xml:space="preserve">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4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w:t>
      </w:r>
      <w:r>
        <w:rPr>
          <w:rFonts w:ascii="Times New Roman" w:cs="Traditional Arabic" w:hAnsi="Times New Roman"/>
          <w:b w:val="false"/>
          <w:sz w:val="32"/>
          <w:szCs w:val="32"/>
          <w:rtl/>
        </w:rPr>
        <w:t xml:space="preserve">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5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 شيء من هذا شتمًا؛ فالمعرّي لا يصف ابن القارح بقبيح قطّ، وإنّما يدعه يتحرّك أمام القارئ حتّى يضحك القارئ منه بنفسه. </w:t>
      </w:r>
      <w:r>
        <w:rPr>
          <w:rFonts w:ascii="Times New Roman" w:cs="Traditional Arabic" w:hAnsi="Times New Roman"/>
          <w:b w:val="false"/>
          <w:sz w:val="32"/>
          <w:szCs w:val="32"/>
          <w:rtl/>
        </w:rPr>
        <w:t xml:space="preserve">ولعلّ هذا من أرقى درجات الفنّ السّاخر.</w:t>
      </w:r>
    </w:p>
    <w:p>
      <w:pPr>
        <w:pStyle w:val="Heading3"/>
        <w:keepNext/>
        <w:bidi/>
        <w:spacing w:after="60" w:before="12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4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53"/>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5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4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w:t>
      </w:r>
      <w:r>
        <w:rPr>
          <w:rFonts w:ascii="Times New Roman" w:cs="Traditional Arabic" w:hAnsi="Times New Roman"/>
          <w:b w:val="false"/>
          <w:sz w:val="32"/>
          <w:szCs w:val="32"/>
          <w:rtl/>
        </w:rPr>
        <w:t xml:space="preserve">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w:t>
      </w:r>
      <w:r>
        <w:rPr>
          <w:rFonts w:ascii="Times New Roman" w:cs="Traditional Arabic" w:hAnsi="Times New Roman"/>
          <w:b w:val="false"/>
          <w:sz w:val="32"/>
          <w:szCs w:val="32"/>
          <w:rtl/>
        </w:rPr>
        <w:t xml:space="preserve">وبهذا تصير الرّحلة الأخرويّة قاعة محاكمة معكوسة للنّقد الأدبيّ القديم.</w:t>
      </w:r>
    </w:p>
    <w:p>
      <w:pPr>
        <w:pStyle w:val="Heading3"/>
        <w:keepNext/>
        <w:bidi/>
        <w:spacing w:after="60" w:before="120" w:line="360" w:lineRule="auto"/>
        <w:jc w:val="right"/>
      </w:pPr>
      <w:r>
        <w:rPr>
          <w:rFonts w:ascii="Times New Roman" w:cs="Traditional Arabic" w:hAnsi="Times New Roman"/>
          <w:b/>
          <w:bCs/>
          <w:sz w:val="32"/>
          <w:szCs w:val="32"/>
          <w:rtl/>
        </w:rPr>
        <w:t xml:space="preserve">قراءة مقرّبة: مشهد الأعشى نموذجًا</w:t>
      </w:r>
    </w:p>
    <w:p>
      <w:pPr>
        <w:bidi/>
        <w:spacing w:after="40" w:before="0" w:line="360" w:lineRule="auto"/>
        <w:jc w:val="both"/>
      </w:pPr>
      <w:r>
        <w:rPr>
          <w:rFonts w:ascii="Times New Roman" w:cs="Traditional Arabic" w:hAnsi="Times New Roman"/>
          <w:b w:val="false"/>
          <w:sz w:val="32"/>
          <w:szCs w:val="32"/>
          <w:rtl/>
        </w:rPr>
        <w:t xml:space="preserve">ولعلّ وقفة مقرّبة عند مشهد واحد تجلو طريقة المعرّي في صنع سخريته. </w:t>
      </w:r>
      <w:r>
        <w:rPr>
          <w:rFonts w:ascii="Times New Roman" w:cs="Traditional Arabic" w:hAnsi="Times New Roman"/>
          <w:b w:val="false"/>
          <w:sz w:val="32"/>
          <w:szCs w:val="32"/>
          <w:rtl/>
        </w:rPr>
        <w:t xml:space="preserve">ففي رياض الجنّة يسمع ابن القارح شعرًا فيهتف به هاتف: "أتشعر أيّها العبد المغفور له لمن هذا الشّعر؟"</w:t>
      </w:r>
      <w:r>
        <w:rPr>
          <w:rStyle w:val="FootnoteReference"/>
        </w:rPr>
        <w:footnoteReference w:id="5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والنّداء وحده صنعة ساخرة: فلقب "العبد المغفور له" يذكّر المخاطب بالمنّة قبل أن يبدأ الكلام، وكأنّ الغفران صار كنية تلازم صاحبها.</w:t>
      </w:r>
    </w:p>
    <w:p>
      <w:pPr>
        <w:bidi/>
        <w:spacing w:after="40" w:before="0" w:line="360" w:lineRule="auto"/>
        <w:jc w:val="both"/>
      </w:pPr>
      <w:r>
        <w:rPr>
          <w:rFonts w:ascii="Times New Roman" w:cs="Traditional Arabic" w:hAnsi="Times New Roman"/>
          <w:b w:val="false"/>
          <w:sz w:val="32"/>
          <w:szCs w:val="32"/>
          <w:rtl/>
        </w:rPr>
        <w:t xml:space="preserve">ثمّ يكشف الهاتف عن نفسه: "أنا ذلك الرّجل، منّ الله عليّ بعدما صرت من جهنّم على شفير، ويئست من المغفرة"</w:t>
      </w:r>
      <w:r>
        <w:rPr>
          <w:rStyle w:val="FootnoteReference"/>
        </w:rPr>
        <w:footnoteReference w:id="5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فالأعشى يروي نجاته رواية النّاجي المذهول: غفران اللحظة الأخيرة، لا مكافأة استحقاق. </w:t>
      </w:r>
      <w:r>
        <w:rPr>
          <w:rFonts w:ascii="Times New Roman" w:cs="Traditional Arabic" w:hAnsi="Times New Roman"/>
          <w:b w:val="false"/>
          <w:sz w:val="32"/>
          <w:szCs w:val="32"/>
          <w:rtl/>
        </w:rPr>
        <w:t xml:space="preserve">ثمّ تأتي اللمسة الأخيرة في حوار زهير عن خمر الجنّة الّتي حُرمت على أعشى قيس وحده لأنّ الحجّة أدركته</w:t>
      </w:r>
      <w:r>
        <w:rPr>
          <w:rStyle w:val="FootnoteReference"/>
        </w:rPr>
        <w:footnoteReference w:id="59"/>
      </w:r>
      <w:r>
        <w:rPr>
          <w:rFonts w:ascii="Times New Roman" w:cs="Traditional Arabic" w:hAnsi="Times New Roman"/>
          <w:b w:val="false"/>
          <w:sz w:val="32"/>
          <w:szCs w:val="32"/>
          <w:rtl/>
        </w:rPr>
        <w:t xml:space="preserve">؛ فإذا في الجنّة نفسها درجات حرمان، وإذا الغفران قد يجيء منقوصًا.</w:t>
      </w:r>
    </w:p>
    <w:p>
      <w:pPr>
        <w:bidi/>
        <w:spacing w:after="40" w:before="0" w:line="360" w:lineRule="auto"/>
        <w:jc w:val="both"/>
      </w:pPr>
      <w:r>
        <w:rPr>
          <w:rFonts w:ascii="Times New Roman" w:cs="Traditional Arabic" w:hAnsi="Times New Roman"/>
          <w:b w:val="false"/>
          <w:sz w:val="32"/>
          <w:szCs w:val="32"/>
          <w:rtl/>
        </w:rPr>
        <w:t xml:space="preserve">وفي هذا المشهد الواحد تجتمع أدوات الفصل كلّها: المفارقة (مغفور له محروم)، وقلب المعنى في اللقب المبجّل، والمحاكاة السّاخرة للهجة أهل الأخبار في السّؤال والجواب، والحوار الّذي يولّد الضّحك من غير أن يصرّح به أحد. </w:t>
      </w:r>
      <w:r>
        <w:rPr>
          <w:rFonts w:ascii="Times New Roman" w:cs="Traditional Arabic" w:hAnsi="Times New Roman"/>
          <w:b w:val="false"/>
          <w:sz w:val="32"/>
          <w:szCs w:val="32"/>
          <w:rtl/>
        </w:rPr>
        <w:t xml:space="preserve">وهكذا يعمل النّصّ في كلّ موضع تقريبًا: جدّ ظاهر يحمل هزلًا باطنًا، وهزل يعيد طرح أسئلة الجدّ.</w:t>
      </w:r>
    </w:p>
    <w:p>
      <w:pPr>
        <w:pStyle w:val="Heading3"/>
        <w:keepNext/>
        <w:bidi/>
        <w:spacing w:after="60" w:before="12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4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w:t>
      </w:r>
      <w:r>
        <w:rPr>
          <w:rFonts w:ascii="Times New Roman" w:cs="Traditional Arabic" w:hAnsi="Times New Roman"/>
          <w:b w:val="false"/>
          <w:sz w:val="32"/>
          <w:szCs w:val="32"/>
          <w:rtl/>
        </w:rPr>
        <w:t xml:space="preserve">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6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المقابل يطلّ أهل الجنّة على أهل النّار فيتجاذبون معهم أطراف الحديث في مسائل العروض، وتطلّ الخنساء على أخيها صخر في النّار إطلالة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6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6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keepNext/>
        <w:bidi/>
        <w:spacing w:after="60" w:before="12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40" w:before="0" w:line="360" w:lineRule="auto"/>
        <w:jc w:val="both"/>
      </w:pPr>
      <w:r>
        <w:rPr>
          <w:rFonts w:ascii="Times New Roman" w:cs="Traditional Arabic" w:hAnsi="Times New Roman"/>
          <w:b w:val="false"/>
          <w:sz w:val="32"/>
          <w:szCs w:val="32"/>
          <w:rtl/>
        </w:rPr>
        <w:t xml:space="preserve">وثمّة مستوى رابع: سخرية شاملة من الطّبيعة البشريّة ذاتها. </w:t>
      </w:r>
      <w:r>
        <w:rPr>
          <w:rFonts w:ascii="Times New Roman" w:cs="Traditional Arabic" w:hAnsi="Times New Roman"/>
          <w:b w:val="false"/>
          <w:sz w:val="32"/>
          <w:szCs w:val="32"/>
          <w:rtl/>
        </w:rPr>
        <w:t xml:space="preserve">فابن القارح نموذج للإنسان يطلب النّجاة بأرخص ثمن وينسى في النّعيم ما قطعه في الشّدّة، والشّعراء في الجنّة لم تغيّرهم الآخرة: ما زالوا يتنازعون الأسبقيّة ويتحاسدون. </w:t>
      </w:r>
      <w:r>
        <w:rPr>
          <w:rFonts w:ascii="Times New Roman" w:cs="Traditional Arabic" w:hAnsi="Times New Roman"/>
          <w:b w:val="false"/>
          <w:sz w:val="32"/>
          <w:szCs w:val="32"/>
          <w:rtl/>
        </w:rPr>
        <w:t xml:space="preserve">فكأنّ المعرّي يقول: انقلوا البشر إلى أيّ عالم شئتم، فسينقلون معهم أهواءهم.</w:t>
      </w:r>
    </w:p>
    <w:p>
      <w:pPr>
        <w:bidi/>
        <w:spacing w:after="4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6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w:t>
      </w:r>
      <w:r>
        <w:rPr>
          <w:rFonts w:ascii="Times New Roman" w:cs="Traditional Arabic" w:hAnsi="Times New Roman"/>
          <w:b w:val="false"/>
          <w:sz w:val="32"/>
          <w:szCs w:val="32"/>
          <w:rtl/>
        </w:rPr>
        <w:t xml:space="preserve">ولعلّ هذا ما يعطي سخرية الغفران عمقها الإنسانيّ ويرفعها عن الشّماتة.</w:t>
      </w:r>
    </w:p>
    <w:p>
      <w:pPr>
        <w:bidi/>
        <w:spacing w:after="40" w:before="0" w:line="360" w:lineRule="auto"/>
        <w:jc w:val="both"/>
      </w:pPr>
      <w:r>
        <w:rPr>
          <w:rFonts w:ascii="Times New Roman" w:cs="Traditional Arabic" w:hAnsi="Times New Roman"/>
          <w:b w:val="false"/>
          <w:sz w:val="32"/>
          <w:szCs w:val="32"/>
          <w:rtl/>
        </w:rPr>
        <w:t xml:space="preserve">ويجدر التّنبيه إلى تفاوت منسوب السّخرية بين القسمين: ففي الرّحلة تتولّد من المواقف والحوارات، وفي الرّدّ المباشر تحلّ محلّها سخرية أدقّ مسلكًا من مجاملات مبالغ فيها ومناقشة يظاهرها التّسليم ويبطنها الفحص. </w:t>
      </w:r>
      <w:r>
        <w:rPr>
          <w:rFonts w:ascii="Times New Roman" w:cs="Traditional Arabic" w:hAnsi="Times New Roman"/>
          <w:b w:val="false"/>
          <w:sz w:val="32"/>
          <w:szCs w:val="32"/>
          <w:rtl/>
        </w:rPr>
        <w:t xml:space="preserve">فهي حاضرة في القسمين معًا، ممّا يقوّي القول بأنّها بنية ناظمة للرّسالة كلّها.</w:t>
      </w:r>
    </w:p>
    <w:p>
      <w:pPr>
        <w:pStyle w:val="Heading2"/>
        <w:keepNext/>
        <w:bidi/>
        <w:spacing w:after="80" w:before="16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4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40" w:before="0" w:line="360" w:lineRule="auto"/>
        <w:jc w:val="both"/>
      </w:pPr>
      <w:r>
        <w:rPr>
          <w:rFonts w:ascii="Times New Roman" w:cs="Traditional Arabic" w:hAnsi="Times New Roman"/>
          <w:b w:val="false"/>
          <w:sz w:val="32"/>
          <w:szCs w:val="32"/>
          <w:rtl/>
        </w:rPr>
        <w:t xml:space="preserve">أوّلًا: المفارقة، وهي أمّ الأدوات: مفارقة بين جلال الموقف الأخرويّ وصغر الموضوعات، فالمحشر مشغول بالعروض والجنّة مجلس منادمة؛ ومفارقة بين ظاهر الخطاب وباطنه، إذ يخاطب المعرّي ابن القارح بأجلّ عبارات التّبجيل وهو يعرّيه.</w:t>
      </w:r>
    </w:p>
    <w:p>
      <w:pPr>
        <w:bidi/>
        <w:spacing w:after="4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6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فالتّرحيب الحارّ بتوبة ابن القارح، والدّعاء المتّصل له بطول البقاء، كلاهما مديح ظاهره الصّفاء وباطنه الغمز.</w:t>
      </w:r>
    </w:p>
    <w:p>
      <w:pPr>
        <w:bidi/>
        <w:spacing w:after="40" w:before="0" w:line="360" w:lineRule="auto"/>
        <w:jc w:val="both"/>
      </w:pPr>
      <w:r>
        <w:rPr>
          <w:rFonts w:ascii="Times New Roman" w:cs="Traditional Arabic" w:hAnsi="Times New Roman"/>
          <w:b w:val="false"/>
          <w:sz w:val="32"/>
          <w:szCs w:val="32"/>
          <w:rtl/>
        </w:rPr>
        <w:t xml:space="preserve">ثالثًا: المحاكاة السّاخرة، إذ يحاكي أجناسًا قائمة ليكشف هشاشتها: مجالس الإملاء والمناظرة في ندوات الجنّة، وأدب الشّفاعات في رحلة ابن القارح، وأسانيد الرّواة في أخبار الجنّ.</w:t>
      </w:r>
    </w:p>
    <w:p>
      <w:pPr>
        <w:bidi/>
        <w:spacing w:after="4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40" w:before="0" w:line="360" w:lineRule="auto"/>
        <w:jc w:val="both"/>
      </w:pPr>
      <w:r>
        <w:rPr>
          <w:rFonts w:ascii="Times New Roman" w:cs="Traditional Arabic" w:hAnsi="Times New Roman"/>
          <w:b w:val="false"/>
          <w:sz w:val="32"/>
          <w:szCs w:val="32"/>
          <w:rtl/>
        </w:rPr>
        <w:t xml:space="preserve">خامسًا: الحوار وتوليد المواقف، فالسّخرية لا تجيء تقريرًا بل تتولّد من الموقف: سؤال محرج، أو جواب بارد، أو مقابلة بين متحاورين لا يستويان؛ والحوار يمنح الرّسالة طابعها الرّوائيّ ويجعل القارئ شاهدًا على المفارقة.</w:t>
      </w:r>
    </w:p>
    <w:p>
      <w:pPr>
        <w:bidi/>
        <w:spacing w:after="4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4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65"/>
      </w:r>
      <w:r>
        <w:rPr>
          <w:rFonts w:ascii="Times New Roman" w:cs="Traditional Arabic" w:hAnsi="Times New Roman"/>
          <w:b w:val="false"/>
          <w:sz w:val="32"/>
          <w:szCs w:val="32"/>
          <w:rtl/>
        </w:rPr>
        <w:t xml:space="preserve">؛ فالضّحك في الغفران وسيلة إقناع لا غاية.</w:t>
      </w:r>
    </w:p>
    <w:p>
      <w:pPr>
        <w:pStyle w:val="Heading2"/>
        <w:keepNext/>
        <w:bidi/>
        <w:spacing w:after="80" w:before="160" w:line="360" w:lineRule="auto"/>
        <w:jc w:val="right"/>
      </w:pPr>
      <w:r>
        <w:rPr>
          <w:rFonts w:ascii="Times New Roman" w:cs="Traditional Arabic" w:hAnsi="Times New Roman"/>
          <w:b/>
          <w:bCs/>
          <w:sz w:val="36"/>
          <w:szCs w:val="36"/>
          <w:rtl/>
        </w:rPr>
        <w:t xml:space="preserve">3.5 موقف الكاتب: بين الجدّ والهزل</w:t>
      </w:r>
    </w:p>
    <w:p>
      <w:pPr>
        <w:bidi/>
        <w:spacing w:after="4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6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هذا الوصف دقيقًا في جانبه الفنّيّ، لكنّه لا يعفي من تحديد وظيفة هذه الضّحكة.</w:t>
      </w:r>
    </w:p>
    <w:p>
      <w:pPr>
        <w:bidi/>
        <w:spacing w:after="4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w:t>
      </w:r>
      <w:r>
        <w:rPr>
          <w:rFonts w:ascii="Times New Roman" w:cs="Traditional Arabic" w:hAnsi="Times New Roman"/>
          <w:b w:val="false"/>
          <w:sz w:val="32"/>
          <w:szCs w:val="32"/>
          <w:rtl/>
        </w:rPr>
        <w:t xml:space="preserve">والسّخرية عنده قناع يتيح قول هذا كلّه من غير مواجهة مكشوفة؛ فالنّاقد الّذي يضحك يصعب اتّهامه، والقصّة الخياليّة تحتمل دائمًا أن يقال إنّها مجرّد خيال. </w:t>
      </w:r>
      <w:r>
        <w:rPr>
          <w:rFonts w:ascii="Times New Roman" w:cs="Traditional Arabic" w:hAnsi="Times New Roman"/>
          <w:b w:val="false"/>
          <w:sz w:val="32"/>
          <w:szCs w:val="32"/>
          <w:rtl/>
        </w:rPr>
        <w:t xml:space="preserve">وبهذا المعنى يمكن عدّ السّخرية عند رهين المحبسين حرّيّته الممكنة: حرّيّة تقول ولا تُمسك عليها كلمة.</w:t>
      </w:r>
    </w:p>
    <w:p>
      <w:pPr>
        <w:bidi/>
        <w:spacing w:after="40" w:before="0" w:line="360" w:lineRule="auto"/>
        <w:jc w:val="both"/>
      </w:pPr>
      <w:r>
        <w:rPr>
          <w:rFonts w:ascii="Times New Roman" w:cs="Traditional Arabic" w:hAnsi="Times New Roman"/>
          <w:b w:val="false"/>
          <w:sz w:val="32"/>
          <w:szCs w:val="32"/>
          <w:rtl/>
        </w:rPr>
        <w:t xml:space="preserve">ويتّضح موقفه أكثر بموازنته بالجاحظ: فسخرية الجاحظ اجتماعيّة مرحة غايتها القريبة الإمتاع، وسخرية المعرّي فلسفيّة قاتمة تنبع من موقف كامل من الوجود؛ الجاحظ يضحك مع النّاس، والمعرّي يضحك من المسافة الّتي تفصله عنهم</w:t>
      </w:r>
      <w:r>
        <w:rPr>
          <w:rStyle w:val="FootnoteReference"/>
        </w:rPr>
        <w:footnoteReference w:id="6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وكلا الضّحكين نقد، لكنّ ضحكة الغفران أثقل ميراثًا لأنّها تحمل سؤال المصير نفسه.</w:t>
      </w:r>
    </w:p>
    <w:p>
      <w:pPr>
        <w:bidi/>
        <w:spacing w:after="40" w:before="0" w:line="360" w:lineRule="auto"/>
        <w:jc w:val="both"/>
      </w:pPr>
      <w:r>
        <w:rPr>
          <w:rFonts w:ascii="Times New Roman" w:cs="Traditional Arabic" w:hAnsi="Times New Roman"/>
          <w:b w:val="false"/>
          <w:sz w:val="32"/>
          <w:szCs w:val="32"/>
          <w:rtl/>
        </w:rPr>
        <w:t xml:space="preserve">ولا بدّ من احتياط منهجيّ: فالسّخرية قائمة على الإيحاء لا التّصريح، وتكثر في تأويلها المزالق. </w:t>
      </w:r>
      <w:r>
        <w:rPr>
          <w:rFonts w:ascii="Times New Roman" w:cs="Traditional Arabic" w:hAnsi="Times New Roman"/>
          <w:b w:val="false"/>
          <w:sz w:val="32"/>
          <w:szCs w:val="32"/>
          <w:rtl/>
        </w:rPr>
        <w:t xml:space="preserve">ولذلك آثر البحث الوقوف عند ما يسنده بناء النّصّ نفسه، من غير قطع بمقاصد لا سبيل إلى التّثبّت منها؛ فالمعرّي أحكم إغلاق نصّه على أكثر من قراءة، ولعلّ هذا الإحكام نفسه جزء من لعبته السّاخرة.</w:t>
      </w:r>
    </w:p>
    <w:p>
      <w:pPr>
        <w:bidi/>
        <w:spacing w:after="4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w:t>
      </w:r>
      <w:r>
        <w:rPr>
          <w:rFonts w:ascii="Times New Roman" w:cs="Traditional Arabic" w:hAnsi="Times New Roman"/>
          <w:b w:val="false"/>
          <w:sz w:val="32"/>
          <w:szCs w:val="32"/>
          <w:rtl/>
        </w:rPr>
        <w:t xml:space="preserve">ومن هذه المسافة بالذّات تولد السّخرية الكبرى.</w:t>
      </w:r>
    </w:p>
    <w:p>
      <w:pPr>
        <w:pStyle w:val="Heading2"/>
        <w:keepNext/>
        <w:bidi/>
        <w:spacing w:after="80" w:before="160" w:line="360" w:lineRule="auto"/>
        <w:jc w:val="right"/>
      </w:pPr>
      <w:r>
        <w:rPr>
          <w:rFonts w:ascii="Times New Roman" w:cs="Traditional Arabic" w:hAnsi="Times New Roman"/>
          <w:b/>
          <w:bCs/>
          <w:sz w:val="36"/>
          <w:szCs w:val="36"/>
          <w:rtl/>
        </w:rPr>
        <w:t xml:space="preserve">3.6 صدى سخرية الغفران</w:t>
      </w:r>
    </w:p>
    <w:p>
      <w:pPr>
        <w:bidi/>
        <w:spacing w:after="40" w:before="0" w:line="360" w:lineRule="auto"/>
        <w:jc w:val="both"/>
      </w:pPr>
      <w:r>
        <w:rPr>
          <w:rFonts w:ascii="Times New Roman" w:cs="Traditional Arabic" w:hAnsi="Times New Roman"/>
          <w:b w:val="false"/>
          <w:sz w:val="32"/>
          <w:szCs w:val="32"/>
          <w:rtl/>
        </w:rPr>
        <w:t xml:space="preserve">لم تمت ضحكة الغفران بموت صاحبها. </w:t>
      </w:r>
      <w:r>
        <w:rPr>
          <w:rFonts w:ascii="Times New Roman" w:cs="Traditional Arabic" w:hAnsi="Times New Roman"/>
          <w:b w:val="false"/>
          <w:sz w:val="32"/>
          <w:szCs w:val="32"/>
          <w:rtl/>
        </w:rPr>
        <w:t xml:space="preserve">فقد رأى دارسون أنّ الكوميديا الإلهيّة لدانتي تلتقي معها في فكرة الرّحلة وكثير من التّفاصيل، وأنّ ملتون تأثّر بها في الفردوس المفقود</w:t>
      </w:r>
      <w:r>
        <w:rPr>
          <w:rStyle w:val="FootnoteReference"/>
        </w:rPr>
        <w:footnoteReference w:id="6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7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w:t>
      </w:r>
      <w:r>
        <w:rPr>
          <w:rFonts w:ascii="Times New Roman" w:cs="Traditional Arabic" w:hAnsi="Times New Roman"/>
          <w:b w:val="false"/>
          <w:sz w:val="32"/>
          <w:szCs w:val="32"/>
          <w:rtl/>
        </w:rPr>
        <w:t xml:space="preserve">رحلة دانتي جادّة مهيبة من أوّلها إلى آخرها، ورحلة ابن القارح تسير على حدّ المفارقة الهازلة. </w:t>
      </w:r>
      <w:r>
        <w:rPr>
          <w:rFonts w:ascii="Times New Roman" w:cs="Traditional Arabic" w:hAnsi="Times New Roman"/>
          <w:b w:val="false"/>
          <w:sz w:val="32"/>
          <w:szCs w:val="32"/>
          <w:rtl/>
        </w:rPr>
        <w:t xml:space="preserve">وقد صدرت الرّسالة كاملة بالعربيّة والإنجليزيّة ضمن سلسلة مكتبة الأدب العربيّ، فاتّسعت دائرة قرّائها. </w:t>
      </w:r>
      <w:r>
        <w:rPr>
          <w:rFonts w:ascii="Times New Roman" w:cs="Traditional Arabic" w:hAnsi="Times New Roman"/>
          <w:b w:val="false"/>
          <w:sz w:val="32"/>
          <w:szCs w:val="32"/>
          <w:rtl/>
        </w:rPr>
        <w:t xml:space="preserve">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الخاتمة</w:t>
      </w:r>
    </w:p>
    <w:p>
      <w:pPr>
        <w:bidi/>
        <w:spacing w:after="4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4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4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4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w:t>
      </w:r>
      <w:r>
        <w:rPr>
          <w:rFonts w:ascii="Times New Roman" w:cs="Traditional Arabic" w:hAnsi="Times New Roman"/>
          <w:b w:val="false"/>
          <w:sz w:val="32"/>
          <w:szCs w:val="32"/>
          <w:rtl/>
        </w:rPr>
        <w:t xml:space="preserve">وأنّها تحقّقت بأدوات فنّيّة أهمّها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40" w:before="0" w:line="360" w:lineRule="auto"/>
        <w:jc w:val="both"/>
      </w:pPr>
      <w:r>
        <w:rPr>
          <w:rFonts w:ascii="Times New Roman" w:cs="Traditional Arabic" w:hAnsi="Times New Roman"/>
          <w:b w:val="false"/>
          <w:sz w:val="32"/>
          <w:szCs w:val="32"/>
          <w:rtl/>
        </w:rPr>
        <w:t xml:space="preserve">ويفتح البحث آفاقًا لدراسات لاحقة: دراسة السّخرية في رسائل المعرّي الأخرى، وتوسيع المقارنة مع الكوميديا الإلهيّة في باب السّخرية خاصّة، ودراسة تلقّي سخرية الغفران بين الاتّهام والدّفاع. </w:t>
      </w:r>
      <w:r>
        <w:rPr>
          <w:rFonts w:ascii="Times New Roman" w:cs="Traditional Arabic" w:hAnsi="Times New Roman"/>
          <w:b w:val="false"/>
          <w:sz w:val="32"/>
          <w:szCs w:val="32"/>
          <w:rtl/>
        </w:rPr>
        <w:t xml:space="preserve">ويقترح عمليًّا إدراج نصوص من قسم الرّحلة في تدريس النّقد الأدبيّ القديم، لما تحويه من مباحث نقديّة معروضة بأسلوب حيّ.</w:t>
      </w:r>
    </w:p>
    <w:p>
      <w:pPr>
        <w:bidi/>
        <w:spacing w:after="4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البيبليوغرافيا</w:t>
      </w:r>
    </w:p>
    <w:p>
      <w:pPr>
        <w:bidi/>
        <w:spacing w:after="40" w:before="0" w:line="360" w:lineRule="auto"/>
        <w:jc w:val="both"/>
      </w:pPr>
      <w:r>
        <w:rPr>
          <w:rFonts w:ascii="Times New Roman" w:cs="Traditional Arabic" w:hAnsi="Times New Roman"/>
          <w:b w:val="false"/>
          <w:sz w:val="32"/>
          <w:szCs w:val="32"/>
          <w:rtl/>
        </w:rPr>
        <w:t xml:space="preserve">1. </w:t>
      </w:r>
      <w:r>
        <w:rPr>
          <w:rFonts w:ascii="Times New Roman" w:cs="Traditional Arabic" w:hAnsi="Times New Roman"/>
          <w:b w:val="false"/>
          <w:sz w:val="32"/>
          <w:szCs w:val="32"/>
          <w:rtl/>
        </w:rPr>
        <w:t xml:space="preserve">أبو رحمة، عماد محمود. </w:t>
      </w:r>
      <w:r>
        <w:rPr>
          <w:rFonts w:ascii="Times New Roman" w:cs="Traditional Arabic" w:hAnsi="Times New Roman"/>
          <w:b w:val="false"/>
          <w:sz w:val="32"/>
          <w:szCs w:val="32"/>
          <w:rtl/>
        </w:rPr>
        <w:t xml:space="preserve">"أثر رسالة الغفران لأبي العلاء المعرّي في الكوميديا الإلهيّة لدانتي: دراسة نصّيّة مقارنة".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w:t>
      </w:r>
      <w:r>
        <w:rPr>
          <w:rFonts w:ascii="Times New Roman" w:cs="Traditional Arabic" w:hAnsi="Times New Roman"/>
          <w:b w:val="false"/>
          <w:sz w:val="32"/>
          <w:szCs w:val="32"/>
          <w:rtl/>
        </w:rPr>
        <w:t xml:space="preserve">غزّة: الجامعة الإسلاميّة، 2015.</w:t>
      </w:r>
    </w:p>
    <w:p>
      <w:pPr>
        <w:bidi/>
        <w:spacing w:after="40" w:before="0" w:line="360" w:lineRule="auto"/>
        <w:jc w:val="both"/>
      </w:pPr>
      <w:r>
        <w:rPr>
          <w:rFonts w:ascii="Times New Roman" w:cs="Traditional Arabic" w:hAnsi="Times New Roman"/>
          <w:b w:val="false"/>
          <w:sz w:val="32"/>
          <w:szCs w:val="32"/>
          <w:rtl/>
        </w:rPr>
        <w:t xml:space="preserve">2. </w:t>
      </w:r>
      <w:r>
        <w:rPr>
          <w:rFonts w:ascii="Times New Roman" w:cs="Traditional Arabic" w:hAnsi="Times New Roman"/>
          <w:b w:val="false"/>
          <w:sz w:val="32"/>
          <w:szCs w:val="32"/>
          <w:rtl/>
        </w:rPr>
        <w:t xml:space="preserve">بن قيراط، حنان. </w:t>
      </w:r>
      <w:r>
        <w:rPr>
          <w:rFonts w:ascii="Times New Roman" w:cs="Traditional Arabic" w:hAnsi="Times New Roman"/>
          <w:b w:val="false"/>
          <w:sz w:val="32"/>
          <w:szCs w:val="32"/>
          <w:rtl/>
        </w:rPr>
        <w:t xml:space="preserve">"فلسفة السّخرية في رسالة الغفران لأبي العلاء المعرّي".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40" w:before="0" w:line="360" w:lineRule="auto"/>
        <w:jc w:val="both"/>
      </w:pPr>
      <w:r>
        <w:rPr>
          <w:rFonts w:ascii="Times New Roman" w:cs="Traditional Arabic" w:hAnsi="Times New Roman"/>
          <w:b w:val="false"/>
          <w:sz w:val="32"/>
          <w:szCs w:val="32"/>
          <w:rtl/>
        </w:rPr>
        <w:t xml:space="preserve">3. </w:t>
      </w:r>
      <w:r>
        <w:rPr>
          <w:rFonts w:ascii="Times New Roman" w:cs="Traditional Arabic" w:hAnsi="Times New Roman"/>
          <w:b w:val="false"/>
          <w:sz w:val="32"/>
          <w:szCs w:val="32"/>
          <w:rtl/>
        </w:rPr>
        <w:t xml:space="preserve">توحيدي فر، نرجس.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2011.</w:t>
      </w:r>
    </w:p>
    <w:p>
      <w:pPr>
        <w:bidi/>
        <w:spacing w:after="40" w:before="0" w:line="360" w:lineRule="auto"/>
        <w:jc w:val="both"/>
      </w:pPr>
      <w:r>
        <w:rPr>
          <w:rFonts w:ascii="Times New Roman" w:cs="Traditional Arabic" w:hAnsi="Times New Roman"/>
          <w:b w:val="false"/>
          <w:sz w:val="32"/>
          <w:szCs w:val="32"/>
          <w:rtl/>
        </w:rPr>
        <w:t xml:space="preserve">4. </w:t>
      </w:r>
      <w:r>
        <w:rPr>
          <w:rFonts w:ascii="Times New Roman" w:cs="Traditional Arabic" w:hAnsi="Times New Roman"/>
          <w:b w:val="false"/>
          <w:sz w:val="32"/>
          <w:szCs w:val="32"/>
          <w:rtl/>
        </w:rPr>
        <w:t xml:space="preserve">الجندي، محمّد سليم.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الجزء الأوّل. </w:t>
      </w:r>
      <w:r>
        <w:rPr>
          <w:rFonts w:ascii="Times New Roman" w:cs="Traditional Arabic" w:hAnsi="Times New Roman"/>
          <w:b w:val="false"/>
          <w:sz w:val="32"/>
          <w:szCs w:val="32"/>
          <w:rtl/>
        </w:rPr>
        <w:t xml:space="preserve">تعليق وإشراف: عبد الهادي هاشم. </w:t>
      </w:r>
      <w:r>
        <w:rPr>
          <w:rFonts w:ascii="Times New Roman" w:cs="Traditional Arabic" w:hAnsi="Times New Roman"/>
          <w:b w:val="false"/>
          <w:sz w:val="32"/>
          <w:szCs w:val="32"/>
          <w:rtl/>
        </w:rPr>
        <w:t xml:space="preserve">دمشق: مطبوعات المجمع العلميّ العربيّ، 1962.</w:t>
      </w:r>
    </w:p>
    <w:p>
      <w:pPr>
        <w:bidi/>
        <w:spacing w:after="40" w:before="0" w:line="360" w:lineRule="auto"/>
        <w:jc w:val="both"/>
      </w:pPr>
      <w:r>
        <w:rPr>
          <w:rFonts w:ascii="Times New Roman" w:cs="Traditional Arabic" w:hAnsi="Times New Roman"/>
          <w:b w:val="false"/>
          <w:sz w:val="32"/>
          <w:szCs w:val="32"/>
          <w:rtl/>
        </w:rPr>
        <w:t xml:space="preserve">5.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6.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1939.</w:t>
      </w:r>
    </w:p>
    <w:p>
      <w:pPr>
        <w:bidi/>
        <w:spacing w:after="40" w:before="0" w:line="360" w:lineRule="auto"/>
        <w:jc w:val="both"/>
      </w:pPr>
      <w:r>
        <w:rPr>
          <w:rFonts w:ascii="Times New Roman" w:cs="Traditional Arabic" w:hAnsi="Times New Roman"/>
          <w:b w:val="false"/>
          <w:sz w:val="32"/>
          <w:szCs w:val="32"/>
          <w:rtl/>
        </w:rPr>
        <w:t xml:space="preserve">7. </w:t>
      </w:r>
      <w:r>
        <w:rPr>
          <w:rFonts w:ascii="Times New Roman" w:cs="Traditional Arabic" w:hAnsi="Times New Roman"/>
          <w:b w:val="false"/>
          <w:sz w:val="32"/>
          <w:szCs w:val="32"/>
          <w:rtl/>
        </w:rPr>
        <w:t xml:space="preserve">ضيف، شوقي.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13.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8. </w:t>
      </w:r>
      <w:r>
        <w:rPr>
          <w:rFonts w:ascii="Times New Roman" w:cs="Traditional Arabic" w:hAnsi="Times New Roman"/>
          <w:b w:val="false"/>
          <w:sz w:val="32"/>
          <w:szCs w:val="32"/>
          <w:rtl/>
        </w:rPr>
        <w:t xml:space="preserve">طه، نعمان محمّد أمين.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التّوفيقيّة، 1979.</w:t>
      </w:r>
    </w:p>
    <w:p>
      <w:pPr>
        <w:bidi/>
        <w:spacing w:after="40" w:before="0" w:line="360" w:lineRule="auto"/>
        <w:jc w:val="both"/>
      </w:pPr>
      <w:r>
        <w:rPr>
          <w:rFonts w:ascii="Times New Roman" w:cs="Traditional Arabic" w:hAnsi="Times New Roman"/>
          <w:b w:val="false"/>
          <w:sz w:val="32"/>
          <w:szCs w:val="32"/>
          <w:rtl/>
        </w:rPr>
        <w:t xml:space="preserve">9. </w:t>
      </w:r>
      <w:r>
        <w:rPr>
          <w:rFonts w:ascii="Times New Roman" w:cs="Traditional Arabic" w:hAnsi="Times New Roman"/>
          <w:b w:val="false"/>
          <w:sz w:val="32"/>
          <w:szCs w:val="32"/>
          <w:rtl/>
        </w:rPr>
        <w:t xml:space="preserve">عبد الرّحمن، عائشة (بنت الشّاطئ).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10. </w:t>
      </w:r>
      <w:r>
        <w:rPr>
          <w:rFonts w:ascii="Times New Roman" w:cs="Traditional Arabic" w:hAnsi="Times New Roman"/>
          <w:b w:val="false"/>
          <w:sz w:val="32"/>
          <w:szCs w:val="32"/>
          <w:rtl/>
        </w:rPr>
        <w:t xml:space="preserve">العقّاد، عبّاس محمود.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11. </w:t>
      </w:r>
      <w:r>
        <w:rPr>
          <w:rFonts w:ascii="Times New Roman" w:cs="Traditional Arabic" w:hAnsi="Times New Roman"/>
          <w:b w:val="false"/>
          <w:sz w:val="32"/>
          <w:szCs w:val="32"/>
          <w:rtl/>
        </w:rPr>
        <w:t xml:space="preserve">كتّاني، سمير. </w:t>
      </w:r>
      <w:r>
        <w:rPr>
          <w:rFonts w:ascii="Times New Roman" w:cs="Traditional Arabic" w:hAnsi="Times New Roman"/>
          <w:b w:val="false"/>
          <w:sz w:val="32"/>
          <w:szCs w:val="32"/>
          <w:rtl/>
        </w:rPr>
        <w:t xml:space="preserve">"الأدب كإطار للمعارف في الموروث العربيّ الكلاسيكيّ: مفاهيمه، طبيعته ومضامينه".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40" w:before="0" w:line="360" w:lineRule="auto"/>
        <w:jc w:val="both"/>
      </w:pPr>
      <w:r>
        <w:rPr>
          <w:rFonts w:ascii="Times New Roman" w:cs="Traditional Arabic" w:hAnsi="Times New Roman"/>
          <w:b w:val="false"/>
          <w:sz w:val="32"/>
          <w:szCs w:val="32"/>
          <w:rtl/>
        </w:rPr>
        <w:t xml:space="preserve">12. </w:t>
      </w:r>
      <w:r>
        <w:rPr>
          <w:rFonts w:ascii="Times New Roman" w:cs="Traditional Arabic" w:hAnsi="Times New Roman"/>
          <w:b w:val="false"/>
          <w:sz w:val="32"/>
          <w:szCs w:val="32"/>
          <w:rtl/>
        </w:rPr>
        <w:t xml:space="preserve">كرد علي، محمّد.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مطبعة لجنة التّأليف والتّرجمة والنّشر، 1937.</w:t>
      </w:r>
    </w:p>
    <w:p>
      <w:pPr>
        <w:bidi/>
        <w:spacing w:after="40" w:before="0" w:line="360" w:lineRule="auto"/>
        <w:jc w:val="both"/>
      </w:pPr>
      <w:r>
        <w:rPr>
          <w:rFonts w:ascii="Times New Roman" w:cs="Traditional Arabic" w:hAnsi="Times New Roman"/>
          <w:b w:val="false"/>
          <w:sz w:val="32"/>
          <w:szCs w:val="32"/>
          <w:rtl/>
        </w:rPr>
        <w:t xml:space="preserve">13. </w:t>
      </w:r>
      <w:r>
        <w:rPr>
          <w:rFonts w:ascii="Times New Roman" w:cs="Traditional Arabic" w:hAnsi="Times New Roman"/>
          <w:b w:val="false"/>
          <w:sz w:val="32"/>
          <w:szCs w:val="32"/>
          <w:rtl/>
        </w:rPr>
        <w:t xml:space="preserve">مبارك، زكي.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14.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عائشة عبد الرّحمن (بنت الشّاطئ). </w:t>
      </w:r>
      <w:r>
        <w:rPr>
          <w:rFonts w:ascii="Times New Roman" w:cs="Traditional Arabic" w:hAnsi="Times New Roman"/>
          <w:b w:val="false"/>
          <w:sz w:val="32"/>
          <w:szCs w:val="32"/>
          <w:rtl/>
        </w:rPr>
        <w:t xml:space="preserve">القاهرة: دار المعارف، 1963.</w:t>
      </w:r>
    </w:p>
    <w:p>
      <w:pPr>
        <w:bidi/>
        <w:spacing w:after="40" w:before="0" w:line="360" w:lineRule="auto"/>
        <w:jc w:val="both"/>
      </w:pPr>
      <w:r>
        <w:rPr>
          <w:rFonts w:ascii="Times New Roman" w:cs="Traditional Arabic" w:hAnsi="Times New Roman"/>
          <w:b w:val="false"/>
          <w:sz w:val="32"/>
          <w:szCs w:val="32"/>
          <w:rtl/>
        </w:rPr>
        <w:t xml:space="preserve">15.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كامل كيلاني. </w:t>
      </w:r>
      <w:r>
        <w:rPr>
          <w:rFonts w:ascii="Times New Roman" w:cs="Traditional Arabic" w:hAnsi="Times New Roman"/>
          <w:b w:val="false"/>
          <w:sz w:val="32"/>
          <w:szCs w:val="32"/>
          <w:rtl/>
        </w:rPr>
        <w:t xml:space="preserve">وندسور: مؤسّسة هنداوي، 2017.</w:t>
      </w:r>
    </w:p>
    <w:p>
      <w:pPr>
        <w:bidi/>
        <w:spacing w:after="40" w:before="0" w:line="360" w:lineRule="auto"/>
        <w:jc w:val="both"/>
      </w:pPr>
      <w:r>
        <w:rPr>
          <w:rFonts w:ascii="Times New Roman" w:cs="Traditional Arabic" w:hAnsi="Times New Roman"/>
          <w:b w:val="false"/>
          <w:sz w:val="32"/>
          <w:szCs w:val="32"/>
          <w:rtl/>
        </w:rPr>
        <w:t xml:space="preserve">16.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[د.ت].</w:t>
      </w:r>
    </w:p>
    <w:p>
      <w:pPr>
        <w:bidi/>
        <w:spacing w:after="40" w:before="0" w:line="360" w:lineRule="auto"/>
        <w:jc w:val="both"/>
      </w:pPr>
      <w:r>
        <w:rPr>
          <w:rFonts w:ascii="Times New Roman" w:cs="Traditional Arabic" w:hAnsi="Times New Roman"/>
          <w:b w:val="false"/>
          <w:sz w:val="32"/>
          <w:szCs w:val="32"/>
          <w:rtl/>
        </w:rPr>
        <w:t xml:space="preserve">17.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اختيار وتقديم: أحمد رجب شلتوت. </w:t>
      </w:r>
      <w:r>
        <w:rPr>
          <w:rFonts w:ascii="Times New Roman" w:cs="Traditional Arabic" w:hAnsi="Times New Roman"/>
          <w:b w:val="false"/>
          <w:sz w:val="32"/>
          <w:szCs w:val="32"/>
          <w:rtl/>
        </w:rPr>
        <w:t xml:space="preserve">الجيزة: أزهى العربيّة للإعلام والفنون والدّراسات الإنسانيّة والنّشر، 2025.</w:t>
      </w:r>
    </w:p>
    <w:p>
      <w:pPr>
        <w:bidi/>
        <w:spacing w:after="40" w:before="0" w:line="360" w:lineRule="auto"/>
        <w:jc w:val="both"/>
      </w:pPr>
      <w:r>
        <w:rPr>
          <w:rFonts w:ascii="Times New Roman" w:cs="Traditional Arabic" w:hAnsi="Times New Roman"/>
          <w:b w:val="false"/>
          <w:sz w:val="32"/>
          <w:szCs w:val="32"/>
          <w:rtl/>
        </w:rPr>
        <w:t xml:space="preserve">18. </w:t>
      </w:r>
      <w:r>
        <w:rPr>
          <w:rFonts w:ascii="Times New Roman" w:cs="Traditional Arabic" w:hAnsi="Times New Roman"/>
          <w:b w:val="false"/>
          <w:sz w:val="32"/>
          <w:szCs w:val="32"/>
          <w:rtl/>
        </w:rPr>
        <w:t xml:space="preserve">المقدسي، أنيس.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8. </w:t>
      </w:r>
      <w:r>
        <w:rPr>
          <w:rFonts w:ascii="Times New Roman" w:cs="Traditional Arabic" w:hAnsi="Times New Roman"/>
          <w:b w:val="false"/>
          <w:sz w:val="32"/>
          <w:szCs w:val="32"/>
          <w:rtl/>
        </w:rPr>
        <w:t xml:space="preserve">بيروت: دار العلم للملايين، 1989.</w:t>
      </w:r>
    </w:p>
    <w:p>
      <w:pPr>
        <w:bidi/>
        <w:spacing w:after="40" w:before="0" w:line="360" w:lineRule="auto"/>
        <w:jc w:val="both"/>
      </w:pPr>
      <w:r>
        <w:rPr>
          <w:rFonts w:ascii="Times New Roman" w:cs="Traditional Arabic" w:hAnsi="Times New Roman"/>
          <w:b w:val="false"/>
          <w:sz w:val="32"/>
          <w:szCs w:val="32"/>
          <w:rtl/>
        </w:rPr>
        <w:t xml:space="preserve">19. </w:t>
      </w:r>
      <w:r>
        <w:rPr>
          <w:rFonts w:ascii="Times New Roman" w:cs="Traditional Arabic" w:hAnsi="Times New Roman"/>
          <w:b w:val="false"/>
          <w:sz w:val="32"/>
          <w:szCs w:val="32"/>
          <w:rtl/>
        </w:rPr>
        <w:t xml:space="preserve">الواد، حسين.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على التّوالي: العقّاد،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 وعبد الرّحمن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 والواد،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وأبو رحمة، "أثر رسالة الغفران لأبي العلاء المعرّي في الكوميديا الإلهيّة لدانتي"؛ وبن قيراط، "فلسفة السّخرية في رسالة الغفران لأبي العلاء المعرّي".</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بن قيراط،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"الأدب كإطار للمعارف في الموروث العربيّ الكلاسيكيّ"، 3.</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ولا دليل على اطّلاع المعرّي على رسالة ابن شهيد الّتي سبقت الغفران بقليل.</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1/117.</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1/37-38.</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1/57، حيث يناقش ما استنتجه المتأخّرون من كلام المعرّي من نتائج غريبة ويردّ عليها.</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1/543-544.</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1/529-532.</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1/563-564.</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مع تحفّظه على إخضاع النّصّ كلّه للتّحليل النّفسيّ.</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ولعلّ القارئ المعاصر يلمح في هذه المشاهد نقدًا مبكّرًا للوساطات والمحسوبيّات.</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54.</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54.</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54-55.</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هذه المحاورات مصدرًا مهمًّا لدراسة النّقد الأدبيّ القديم: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29.</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و23-52؛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وإطلالة الخنساء).</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64">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65">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66">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6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70">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lang w:val="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2026-08-17T13:22:10.661Z</dcterms:created>
  <dcterms:modified xsi:type="dcterms:W3CDTF">2026-08-17T13:22:10.661Z</dcterms:modified>
</cp:coreProperties>
</file>

<file path=docProps/custom.xml><?xml version="1.0" encoding="utf-8"?>
<Properties xmlns="http://schemas.openxmlformats.org/officeDocument/2006/custom-properties" xmlns:vt="http://schemas.openxmlformats.org/officeDocument/2006/docPropsVTypes"/>
</file>