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bidi/>
        <w:spacing w:after="120" w:line="360"/>
        <w:jc w:val="center"/>
      </w:pPr>
      <w:r>
        <w:rPr>
          <w:rFonts w:ascii="David" w:cs="David" w:eastAsia="David" w:hAnsi="David"/>
          <w:b/>
          <w:bCs/>
          <w:color w:val="1F3864"/>
          <w:sz w:val="36"/>
          <w:szCs w:val="36"/>
          <w:rtl/>
        </w:rPr>
        <w:t xml:space="preserve">הקריה האקדמית אונו</w:t>
      </w:r>
    </w:p>
    <w:p>
      <w:pPr>
        <w:bidi/>
        <w:spacing w:after="120" w:line="360"/>
        <w:jc w:val="center"/>
      </w:pPr>
      <w:r>
        <w:rPr>
          <w:rFonts w:ascii="David" w:cs="David" w:eastAsia="David" w:hAnsi="David"/>
          <w:color w:val="595959"/>
          <w:sz w:val="24"/>
          <w:szCs w:val="24"/>
          <w:rtl/>
        </w:rPr>
        <w:t xml:space="preserve">Ono Academic College</w:t>
      </w:r>
    </w:p>
    <w:p>
      <w:pPr>
        <w:bidi/>
        <w:spacing w:after="120" w:line="360"/>
        <w:jc w:val="center"/>
      </w:pPr>
      <w:r>
        <w:rPr>
          <w:rFonts w:ascii="David" w:cs="David" w:eastAsia="David" w:hAnsi="David"/>
          <w:sz w:val="26"/>
          <w:szCs w:val="26"/>
          <w:rtl/>
        </w:rPr>
        <w:t xml:space="preserve">הפקולטה למנהל עסקים B.A</w:t>
      </w:r>
    </w:p>
    <w:p>
      <w:pPr>
        <w:spacing w:after="500"/>
      </w:pPr>
    </w:p>
    <w:p>
      <w:pPr>
        <w:bidi/>
        <w:spacing w:after="120" w:line="360"/>
        <w:jc w:val="center"/>
      </w:pPr>
      <w:r>
        <w:rPr>
          <w:rFonts w:ascii="David" w:cs="David" w:eastAsia="David" w:hAnsi="David"/>
          <w:b/>
          <w:bCs/>
          <w:sz w:val="28"/>
          <w:szCs w:val="28"/>
          <w:rtl/>
        </w:rPr>
        <w:t xml:space="preserve">עבודה מסכמת בקורס: ניהול קריירה בארגונים</w:t>
      </w:r>
    </w:p>
    <w:p>
      <w:pPr>
        <w:bidi/>
        <w:spacing w:after="120" w:line="360"/>
        <w:jc w:val="center"/>
      </w:pPr>
      <w:r>
        <w:rPr>
          <w:rFonts w:ascii="David" w:cs="David" w:eastAsia="David" w:hAnsi="David"/>
          <w:sz w:val="24"/>
          <w:szCs w:val="24"/>
          <w:rtl/>
        </w:rPr>
        <w:t xml:space="preserve">שנת הלימודים תשפ"ו, סמסטר 3</w:t>
      </w:r>
    </w:p>
    <w:p>
      <w:pPr>
        <w:spacing w:after="600"/>
      </w:pPr>
    </w:p>
    <w:p>
      <w:pPr>
        <w:bidi/>
        <w:spacing w:after="80" w:line="360"/>
        <w:jc w:val="center"/>
      </w:pPr>
      <w:r>
        <w:rPr>
          <w:rFonts w:ascii="David" w:cs="David" w:eastAsia="David" w:hAnsi="David"/>
          <w:b/>
          <w:bCs/>
          <w:color w:val="0E6E73"/>
          <w:sz w:val="44"/>
          <w:szCs w:val="44"/>
          <w:rtl/>
        </w:rPr>
        <w:t xml:space="preserve">התמודדות עם חוסר ודאות תעסוקתי</w:t>
      </w:r>
    </w:p>
    <w:p>
      <w:pPr>
        <w:bidi/>
        <w:spacing w:after="40" w:line="360"/>
        <w:jc w:val="center"/>
      </w:pPr>
      <w:r>
        <w:rPr>
          <w:rFonts w:ascii="David" w:cs="David" w:eastAsia="David" w:hAnsi="David"/>
          <w:sz w:val="26"/>
          <w:szCs w:val="26"/>
          <w:rtl/>
        </w:rPr>
        <w:t xml:space="preserve">ניתוח ויישום של מאמר אקדמי בתחום ניהול הקריירה</w:t>
      </w:r>
    </w:p>
    <w:p>
      <w:pPr>
        <w:spacing w:after="60"/>
        <w:jc w:val="center"/>
      </w:pPr>
      <w:r>
        <w:rPr>
          <w:rFonts w:ascii="Times New Roman" w:cs="Times New Roman" w:eastAsia="Times New Roman" w:hAnsi="Times New Roman"/>
          <w:i/>
          <w:iCs/>
          <w:color w:val="404040"/>
          <w:sz w:val="22"/>
          <w:szCs w:val="22"/>
        </w:rPr>
        <w:t xml:space="preserve">Låstad, L., Pienaar, J., Näswall, K., Richter, A., Hellgren, J., &amp; Sverke, M. (2025). Moving on up now? A meta-analysis of the associations between job insecurity and career-related outcomes. Scandinavian Journal of Work and Organizational Psychology, 10(1), Article 2.</w:t>
      </w:r>
    </w:p>
    <w:p>
      <w:pPr>
        <w:bidi/>
        <w:spacing w:after="40" w:line="360"/>
        <w:jc w:val="center"/>
      </w:pPr>
      <w:r>
        <w:rPr>
          <w:rFonts w:ascii="David" w:cs="David" w:eastAsia="David" w:hAnsi="David"/>
          <w:color w:val="404040"/>
          <w:sz w:val="22"/>
          <w:szCs w:val="22"/>
          <w:rtl/>
        </w:rPr>
        <w:t xml:space="preserve">מאמר משלים:</w:t>
      </w:r>
    </w:p>
    <w:p>
      <w:pPr>
        <w:spacing w:after="120"/>
        <w:jc w:val="center"/>
      </w:pPr>
      <w:r>
        <w:rPr>
          <w:rFonts w:ascii="Times New Roman" w:cs="Times New Roman" w:eastAsia="Times New Roman" w:hAnsi="Times New Roman"/>
          <w:i/>
          <w:iCs/>
          <w:color w:val="404040"/>
          <w:sz w:val="22"/>
          <w:szCs w:val="22"/>
        </w:rPr>
        <w:t xml:space="preserve">Chung, Y. W., Im, S., Kim, J. E., &amp; Yun, J. K. (2025). Artificial intelligence awareness, career resilience, job insecurity and behavioural outcomes. Australian Journal of Psychology, 77(1), Article 2559910.</w:t>
      </w:r>
    </w:p>
    <w:p>
      <w:pPr>
        <w:spacing w:after="400"/>
      </w:pPr>
    </w:p>
    <w:tbl>
      <w:tblPr>
        <w:bidiVisual/>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rPr>
          <w:tblHeader/>
        </w:trPr>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center"/>
            </w:pPr>
            <w:r>
              <w:rPr>
                <w:rFonts w:ascii="David" w:cs="David" w:eastAsia="David" w:hAnsi="David"/>
                <w:b/>
                <w:bCs/>
                <w:color w:val="1F3864"/>
                <w:sz w:val="22"/>
                <w:szCs w:val="22"/>
                <w:rtl/>
              </w:rPr>
              <w:t xml:space="preserve">שם המגיש/ה</w:t>
            </w:r>
          </w:p>
        </w:tc>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center"/>
            </w:pPr>
            <w:r>
              <w:rPr>
                <w:rFonts w:ascii="David" w:cs="David" w:eastAsia="David" w:hAnsi="David"/>
                <w:b/>
                <w:bCs/>
                <w:color w:val="1F3864"/>
                <w:sz w:val="22"/>
                <w:szCs w:val="22"/>
                <w:rtl/>
              </w:rPr>
              <w:t xml:space="preserve">מספר תעודת זהות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 אם ההגשה בשלשה]</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bl>
    <w:p>
      <w:pPr>
        <w:spacing w:after="400"/>
      </w:pPr>
    </w:p>
    <w:p>
      <w:pPr>
        <w:bidi/>
        <w:spacing w:after="120" w:line="360"/>
        <w:jc w:val="center"/>
      </w:pPr>
      <w:r>
        <w:rPr>
          <w:rFonts w:ascii="David" w:cs="David" w:eastAsia="David" w:hAnsi="David"/>
          <w:sz w:val="24"/>
          <w:szCs w:val="24"/>
          <w:rtl/>
        </w:rPr>
        <w:t xml:space="preserve">מרצה: גב' מורן דבדבני דקל</w:t>
      </w:r>
    </w:p>
    <w:p>
      <w:pPr>
        <w:bidi/>
        <w:spacing w:after="120" w:line="360"/>
        <w:jc w:val="center"/>
      </w:pPr>
      <w:r>
        <w:rPr>
          <w:rFonts w:ascii="David" w:cs="David" w:eastAsia="David" w:hAnsi="David"/>
          <w:sz w:val="24"/>
          <w:szCs w:val="24"/>
          <w:rtl/>
        </w:rPr>
        <w:t xml:space="preserve">עוזר הוראה: מר פאר רועי</w:t>
      </w:r>
    </w:p>
    <w:p>
      <w:pPr>
        <w:spacing w:after="200"/>
      </w:pPr>
    </w:p>
    <w:p>
      <w:pPr>
        <w:bidi/>
        <w:spacing w:after="120" w:line="360"/>
        <w:jc w:val="center"/>
      </w:pPr>
      <w:r>
        <w:rPr>
          <w:rFonts w:ascii="David" w:cs="David" w:eastAsia="David" w:hAnsi="David"/>
          <w:sz w:val="24"/>
          <w:szCs w:val="24"/>
          <w:rtl/>
        </w:rPr>
        <w:t xml:space="preserve">תאריך הגשה: י' בתשרי תשפ"ז, 21.09.2026</w:t>
      </w:r>
    </w:p>
    <w:p>
      <w:r>
        <w:br w:type="page"/>
      </w:r>
    </w:p>
    <w:p>
      <w:pPr>
        <w:pStyle w:val="Heading1"/>
        <w:bidi/>
        <w:spacing w:after="240" w:before="240" w:line="480"/>
        <w:jc w:val="right"/>
      </w:pPr>
      <w:r>
        <w:rPr>
          <w:rFonts w:ascii="David" w:cs="David" w:eastAsia="David" w:hAnsi="David"/>
          <w:b/>
          <w:bCs/>
          <w:color w:val="1F3864"/>
          <w:sz w:val="32"/>
          <w:szCs w:val="32"/>
          <w:rtl/>
        </w:rPr>
        <w:t xml:space="preserve">תוכן העניינים</w:t>
      </w:r>
    </w:p>
    <w:p>
      <w:pPr>
        <w:tabs>
          <w:tab w:val="left" w:pos="8800" w:leader="dot"/>
        </w:tabs>
        <w:bidi/>
        <w:spacing w:after="0" w:line="480"/>
        <w:jc w:val="right"/>
      </w:pPr>
      <w:r>
        <w:rPr>
          <w:rFonts w:ascii="David" w:cs="David" w:eastAsia="David" w:hAnsi="David"/>
          <w:sz w:val="24"/>
          <w:szCs w:val="24"/>
          <w:rtl/>
        </w:rPr>
        <w:t xml:space="preserve">מבוא</w:t>
      </w:r>
      <w:r>
        <w:rPr>
          <w:rFonts w:ascii="David" w:cs="David" w:eastAsia="David" w:hAnsi="David"/>
          <w:sz w:val="24"/>
          <w:szCs w:val="24"/>
          <w:rtl/>
        </w:rPr>
        <w:t xml:space="preserve">	3</w:t>
      </w:r>
    </w:p>
    <w:p>
      <w:pPr>
        <w:tabs>
          <w:tab w:val="left" w:pos="8800" w:leader="dot"/>
        </w:tabs>
        <w:bidi/>
        <w:spacing w:after="0" w:line="480"/>
        <w:jc w:val="right"/>
      </w:pPr>
      <w:r>
        <w:rPr>
          <w:rFonts w:ascii="David" w:cs="David" w:eastAsia="David" w:hAnsi="David"/>
          <w:sz w:val="24"/>
          <w:szCs w:val="24"/>
          <w:rtl/>
        </w:rPr>
        <w:t xml:space="preserve">פרק 1: הצגת המאמר המרכזי</w:t>
      </w:r>
      <w:r>
        <w:rPr>
          <w:rFonts w:ascii="David" w:cs="David" w:eastAsia="David" w:hAnsi="David"/>
          <w:sz w:val="24"/>
          <w:szCs w:val="24"/>
          <w:rtl/>
        </w:rPr>
        <w:t xml:space="preserve">	5</w:t>
      </w:r>
    </w:p>
    <w:p>
      <w:pPr>
        <w:tabs>
          <w:tab w:val="left" w:pos="8800" w:leader="dot"/>
        </w:tabs>
        <w:bidi/>
        <w:spacing w:after="0" w:line="480"/>
        <w:jc w:val="right"/>
      </w:pPr>
      <w:r>
        <w:rPr>
          <w:rFonts w:ascii="David" w:cs="David" w:eastAsia="David" w:hAnsi="David"/>
          <w:sz w:val="24"/>
          <w:szCs w:val="24"/>
          <w:rtl/>
        </w:rPr>
        <w:t xml:space="preserve">פרק 2: תמצית המאמר והנקודות המרכזיות</w:t>
      </w:r>
      <w:r>
        <w:rPr>
          <w:rFonts w:ascii="David" w:cs="David" w:eastAsia="David" w:hAnsi="David"/>
          <w:sz w:val="24"/>
          <w:szCs w:val="24"/>
          <w:rtl/>
        </w:rPr>
        <w:t xml:space="preserve">	6</w:t>
      </w:r>
    </w:p>
    <w:p>
      <w:pPr>
        <w:tabs>
          <w:tab w:val="left" w:pos="8800" w:leader="dot"/>
        </w:tabs>
        <w:bidi/>
        <w:spacing w:after="0" w:line="480"/>
        <w:jc w:val="right"/>
      </w:pPr>
      <w:r>
        <w:rPr>
          <w:rFonts w:ascii="David" w:cs="David" w:eastAsia="David" w:hAnsi="David"/>
          <w:sz w:val="24"/>
          <w:szCs w:val="24"/>
          <w:rtl/>
        </w:rPr>
        <w:t xml:space="preserve">פרק 3: ניתוח המאמר לפי מבנה, שיטה וממצאים</w:t>
      </w:r>
      <w:r>
        <w:rPr>
          <w:rFonts w:ascii="David" w:cs="David" w:eastAsia="David" w:hAnsi="David"/>
          <w:sz w:val="24"/>
          <w:szCs w:val="24"/>
          <w:rtl/>
        </w:rPr>
        <w:t xml:space="preserve">	9</w:t>
      </w:r>
    </w:p>
    <w:p>
      <w:pPr>
        <w:tabs>
          <w:tab w:val="left" w:pos="8800" w:leader="dot"/>
        </w:tabs>
        <w:bidi/>
        <w:spacing w:after="0" w:line="480"/>
        <w:jc w:val="right"/>
      </w:pPr>
      <w:r>
        <w:rPr>
          <w:rFonts w:ascii="David" w:cs="David" w:eastAsia="David" w:hAnsi="David"/>
          <w:sz w:val="24"/>
          <w:szCs w:val="24"/>
          <w:rtl/>
        </w:rPr>
        <w:t xml:space="preserve">פרק 4: המאמר המשלים והמסגרת התיאורטית</w:t>
      </w:r>
      <w:r>
        <w:rPr>
          <w:rFonts w:ascii="David" w:cs="David" w:eastAsia="David" w:hAnsi="David"/>
          <w:sz w:val="24"/>
          <w:szCs w:val="24"/>
          <w:rtl/>
        </w:rPr>
        <w:t xml:space="preserve">	12</w:t>
      </w:r>
    </w:p>
    <w:p>
      <w:pPr>
        <w:tabs>
          <w:tab w:val="left" w:pos="8800" w:leader="dot"/>
        </w:tabs>
        <w:bidi/>
        <w:spacing w:after="0" w:line="480"/>
        <w:jc w:val="right"/>
      </w:pPr>
      <w:r>
        <w:rPr>
          <w:rFonts w:ascii="David" w:cs="David" w:eastAsia="David" w:hAnsi="David"/>
          <w:sz w:val="24"/>
          <w:szCs w:val="24"/>
          <w:rtl/>
        </w:rPr>
        <w:t xml:space="preserve">פרק 5: תובנות, מסקנות ודעה אישית</w:t>
      </w:r>
      <w:r>
        <w:rPr>
          <w:rFonts w:ascii="David" w:cs="David" w:eastAsia="David" w:hAnsi="David"/>
          <w:sz w:val="24"/>
          <w:szCs w:val="24"/>
          <w:rtl/>
        </w:rPr>
        <w:t xml:space="preserve">	14</w:t>
      </w:r>
    </w:p>
    <w:p>
      <w:pPr>
        <w:tabs>
          <w:tab w:val="left" w:pos="8800" w:leader="dot"/>
        </w:tabs>
        <w:bidi/>
        <w:spacing w:after="0" w:line="480"/>
        <w:jc w:val="right"/>
      </w:pPr>
      <w:r>
        <w:rPr>
          <w:rFonts w:ascii="David" w:cs="David" w:eastAsia="David" w:hAnsi="David"/>
          <w:sz w:val="24"/>
          <w:szCs w:val="24"/>
          <w:rtl/>
        </w:rPr>
        <w:t xml:space="preserve">פרק 6: יישום מעשי בניהול קריירה</w:t>
      </w:r>
      <w:r>
        <w:rPr>
          <w:rFonts w:ascii="David" w:cs="David" w:eastAsia="David" w:hAnsi="David"/>
          <w:sz w:val="24"/>
          <w:szCs w:val="24"/>
          <w:rtl/>
        </w:rPr>
        <w:t xml:space="preserve">	16</w:t>
      </w:r>
    </w:p>
    <w:p>
      <w:pPr>
        <w:tabs>
          <w:tab w:val="left" w:pos="8800" w:leader="dot"/>
        </w:tabs>
        <w:bidi/>
        <w:spacing w:after="0" w:line="480"/>
        <w:jc w:val="right"/>
      </w:pPr>
      <w:r>
        <w:rPr>
          <w:rFonts w:ascii="David" w:cs="David" w:eastAsia="David" w:hAnsi="David"/>
          <w:sz w:val="24"/>
          <w:szCs w:val="24"/>
          <w:rtl/>
        </w:rPr>
        <w:t xml:space="preserve">סיכום ומסקנות</w:t>
      </w:r>
      <w:r>
        <w:rPr>
          <w:rFonts w:ascii="David" w:cs="David" w:eastAsia="David" w:hAnsi="David"/>
          <w:sz w:val="24"/>
          <w:szCs w:val="24"/>
          <w:rtl/>
        </w:rPr>
        <w:t xml:space="preserve">	19</w:t>
      </w:r>
    </w:p>
    <w:p>
      <w:pPr>
        <w:tabs>
          <w:tab w:val="left" w:pos="8800" w:leader="dot"/>
        </w:tabs>
        <w:bidi/>
        <w:spacing w:after="0" w:line="480"/>
        <w:jc w:val="right"/>
      </w:pPr>
      <w:r>
        <w:rPr>
          <w:rFonts w:ascii="David" w:cs="David" w:eastAsia="David" w:hAnsi="David"/>
          <w:sz w:val="24"/>
          <w:szCs w:val="24"/>
          <w:rtl/>
        </w:rPr>
        <w:t xml:space="preserve">נספח א: תכנון המצגת והאמצעים להמחשה</w:t>
      </w:r>
      <w:r>
        <w:rPr>
          <w:rFonts w:ascii="David" w:cs="David" w:eastAsia="David" w:hAnsi="David"/>
          <w:sz w:val="24"/>
          <w:szCs w:val="24"/>
          <w:rtl/>
        </w:rPr>
        <w:t xml:space="preserve">	20</w:t>
      </w:r>
    </w:p>
    <w:p>
      <w:pPr>
        <w:tabs>
          <w:tab w:val="left" w:pos="8800" w:leader="dot"/>
        </w:tabs>
        <w:bidi/>
        <w:spacing w:after="0" w:line="480"/>
        <w:jc w:val="right"/>
      </w:pPr>
      <w:r>
        <w:rPr>
          <w:rFonts w:ascii="David" w:cs="David" w:eastAsia="David" w:hAnsi="David"/>
          <w:sz w:val="24"/>
          <w:szCs w:val="24"/>
          <w:rtl/>
        </w:rPr>
        <w:t xml:space="preserve">נספח ב: שאלון קצר להערכה עצמית</w:t>
      </w:r>
      <w:r>
        <w:rPr>
          <w:rFonts w:ascii="David" w:cs="David" w:eastAsia="David" w:hAnsi="David"/>
          <w:sz w:val="24"/>
          <w:szCs w:val="24"/>
          <w:rtl/>
        </w:rPr>
        <w:t xml:space="preserve">	21</w:t>
      </w:r>
    </w:p>
    <w:p>
      <w:pPr>
        <w:tabs>
          <w:tab w:val="left" w:pos="8800" w:leader="dot"/>
        </w:tabs>
        <w:bidi/>
        <w:spacing w:after="0" w:line="480"/>
        <w:jc w:val="right"/>
      </w:pPr>
      <w:r>
        <w:rPr>
          <w:rFonts w:ascii="David" w:cs="David" w:eastAsia="David" w:hAnsi="David"/>
          <w:sz w:val="24"/>
          <w:szCs w:val="24"/>
          <w:rtl/>
        </w:rPr>
        <w:t xml:space="preserve">רשימת מקורות</w:t>
      </w:r>
      <w:r>
        <w:rPr>
          <w:rFonts w:ascii="David" w:cs="David" w:eastAsia="David" w:hAnsi="David"/>
          <w:sz w:val="24"/>
          <w:szCs w:val="24"/>
          <w:rtl/>
        </w:rPr>
        <w:t xml:space="preserve">	22</w:t>
      </w:r>
    </w:p>
    <w:p>
      <w:pPr>
        <w:bidi/>
        <w:spacing w:after="120" w:before="240" w:line="276"/>
        <w:jc w:val="right"/>
      </w:pPr>
      <w:r>
        <w:rPr>
          <w:rFonts w:ascii="David" w:cs="David" w:eastAsia="David" w:hAnsi="David"/>
          <w:color w:val="595959"/>
          <w:sz w:val="20"/>
          <w:szCs w:val="20"/>
          <w:rtl/>
        </w:rPr>
        <w:t xml:space="preserve">מספרי העמודים משוערים ויש לעדכנם לאחר מילוי פרטי המגישים.</w:t>
      </w:r>
    </w:p>
    <w:p>
      <w:r>
        <w:br w:type="page"/>
      </w:r>
    </w:p>
    <w:p>
      <w:pPr>
        <w:pStyle w:val="Heading1"/>
        <w:bidi/>
        <w:spacing w:after="240" w:before="240" w:line="480"/>
        <w:jc w:val="right"/>
      </w:pPr>
      <w:r>
        <w:rPr>
          <w:rFonts w:ascii="David" w:cs="David" w:eastAsia="David" w:hAnsi="David"/>
          <w:b/>
          <w:bCs/>
          <w:color w:val="1F3864"/>
          <w:sz w:val="32"/>
          <w:szCs w:val="32"/>
          <w:rtl/>
        </w:rPr>
        <w:t xml:space="preserve">מבוא</w:t>
      </w:r>
    </w:p>
    <w:p>
      <w:pPr>
        <w:bidi/>
        <w:spacing w:after="120" w:before="0" w:line="480"/>
        <w:jc w:val="both"/>
      </w:pPr>
      <w:r>
        <w:rPr>
          <w:rFonts w:ascii="David" w:cs="David" w:eastAsia="David" w:hAnsi="David"/>
          <w:sz w:val="24"/>
          <w:szCs w:val="24"/>
          <w:rtl/>
        </w:rPr>
        <w:t xml:space="preserve">חוסר ביטחון תעסוקתי (</w:t>
      </w:r>
      <w:r>
        <w:rPr>
          <w:rFonts w:ascii="Times New Roman" w:cs="Times New Roman" w:eastAsia="Times New Roman" w:hAnsi="Times New Roman"/>
          <w:sz w:val="24"/>
          <w:szCs w:val="24"/>
        </w:rPr>
        <w:t xml:space="preserve">‎Job Insecurity‎</w:t>
      </w:r>
      <w:r>
        <w:rPr>
          <w:rFonts w:ascii="David" w:cs="David" w:eastAsia="David" w:hAnsi="David"/>
          <w:sz w:val="24"/>
          <w:szCs w:val="24"/>
          <w:rtl/>
        </w:rPr>
        <w:t xml:space="preserve">) נחקר מאז שנות השמונים, אז הוגדר לראשונה כתחושת חוסר אונים של העובד לשמור על ההמשכיות הרצויה לו במצב עבודה מאוים (</w:t>
      </w:r>
      <w:r>
        <w:rPr>
          <w:rFonts w:ascii="Times New Roman" w:cs="Times New Roman" w:eastAsia="Times New Roman" w:hAnsi="Times New Roman"/>
          <w:sz w:val="24"/>
          <w:szCs w:val="24"/>
        </w:rPr>
        <w:t xml:space="preserve">‎Greenhalgh &amp; Rosenblatt, 1984‎</w:t>
      </w:r>
      <w:r>
        <w:rPr>
          <w:rFonts w:ascii="David" w:cs="David" w:eastAsia="David" w:hAnsi="David"/>
          <w:sz w:val="24"/>
          <w:szCs w:val="24"/>
          <w:rtl/>
        </w:rPr>
        <w:t xml:space="preserve">). בשנים האחרונות התופעה חזרה למרכז השיח, משום שהיא כבר אינה נחלתם של עובדים זמניים או של ענפים במשבר בלבד. גלי הפיטורים וההתייעלות בענף ההייטק, כניסת הבינה המלאכותית היוצרת לתפקידי צווארון לבן, המלחמה ושירות המילואים הממושך, והמעבר לצורות העסקה גמישות, יצרו מציאות שבה גם עובדים בעלי ותק ומיומנויות גבוהות חשים כי המשך העסקתם אינו מובן מאליו. תיבה בדוח בנק ישראל לשנת 2024 העריכה כי כחמישית מהמועסקים בישראל עובדים במקצועות שבהם הביקוש לעובדים צפוי לרדת באופן משמעותי עם התרחבות השימוש בבינה מלאכותית (בנק ישראל, 2025). בעיתונות הכלכלית דווח כי ההתייעלות באמצעות בינה מלאכותית עומדת בראש סדר היום של מנהלי ההייטק בשנת 2026 ("הקשיים של מנהלי הייטק", 2026).</w:t>
      </w:r>
    </w:p>
    <w:p>
      <w:pPr>
        <w:bidi/>
        <w:spacing w:after="120" w:before="0" w:line="480"/>
        <w:jc w:val="both"/>
      </w:pPr>
      <w:r>
        <w:rPr>
          <w:rFonts w:ascii="David" w:cs="David" w:eastAsia="David" w:hAnsi="David"/>
          <w:sz w:val="24"/>
          <w:szCs w:val="24"/>
          <w:rtl/>
        </w:rPr>
        <w:t xml:space="preserve">ניהול קריירה מתואר בספרות כתהליך מתמשך שבו הפרט אוסף מידע על עצמו ועל סביבתו, מציב יעדים ומפתח אסטרטגיות להשגתם (</w:t>
      </w:r>
      <w:r>
        <w:rPr>
          <w:rFonts w:ascii="Times New Roman" w:cs="Times New Roman" w:eastAsia="Times New Roman" w:hAnsi="Times New Roman"/>
          <w:sz w:val="24"/>
          <w:szCs w:val="24"/>
        </w:rPr>
        <w:t xml:space="preserve">‎Greenhaus et al., 2018‎</w:t>
      </w:r>
      <w:r>
        <w:rPr>
          <w:rFonts w:ascii="David" w:cs="David" w:eastAsia="David" w:hAnsi="David"/>
          <w:sz w:val="24"/>
          <w:szCs w:val="24"/>
          <w:rtl/>
        </w:rPr>
        <w:t xml:space="preserve">). תהליך כזה מניח מידה של יציבות. מכאן עולה השאלה שבמרכז עבודה זו: מה עושה חוסר הביטחון התעסוקתי לקריירה עצמה, ולא רק לבריאות ולשביעות הרצון, וכיצד מנהלים קריירה כאשר אי-הוודאות הופכת לתנאי קבוע? הנושא נבחר משום שהוא נוגע ישירות לסטודנטים הנמצאים לפני הכניסה לשוק העבודה או בתחילת דרכם המקצועית, ומשום שהוא מתחבר לנושאים שנלמדו בקורס: מסע הקריירה במאה ה-21 ושלושת "סלי הכלים" לניהול קריירה, רשת אנשים, זהות מקצועית והתפתחות (דבדבני דקל, 2026א), וההסתכלות על משבר כעל הזדמנות (דבדבני דקל, 2026ב).</w:t>
      </w:r>
    </w:p>
    <w:p>
      <w:pPr>
        <w:bidi/>
        <w:spacing w:after="120" w:before="0" w:line="480"/>
        <w:jc w:val="both"/>
      </w:pPr>
      <w:r>
        <w:rPr>
          <w:rFonts w:ascii="David" w:cs="David" w:eastAsia="David" w:hAnsi="David"/>
          <w:sz w:val="24"/>
          <w:szCs w:val="24"/>
          <w:rtl/>
        </w:rPr>
        <w:t xml:space="preserve">העבודה נשענת על המטא-אנליזה של לוסטד ואחרים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שפורסמה בכתב העת השפיט </w:t>
      </w:r>
      <w:r>
        <w:rPr>
          <w:rFonts w:ascii="Times New Roman" w:cs="Times New Roman" w:eastAsia="Times New Roman" w:hAnsi="Times New Roman"/>
          <w:sz w:val="24"/>
          <w:szCs w:val="24"/>
        </w:rPr>
        <w:t xml:space="preserve">‎Scandinavian Journal of Work and Organizational Psychology‎</w:t>
      </w:r>
      <w:r>
        <w:rPr>
          <w:rFonts w:ascii="David" w:cs="David" w:eastAsia="David" w:hAnsi="David"/>
          <w:sz w:val="24"/>
          <w:szCs w:val="24"/>
          <w:rtl/>
        </w:rPr>
        <w:t xml:space="preserve"> בגישה פתוחה מלאה. זהו המאמר הראשון שאיחד סטטיסטית את הממצאים על הקשר בין חוסר ביטחון תעסוקתי לבין תוצאות קריירה, כגון שביעות רצון מהקריירה, יכולת תעסוקה נתפסת, פיתוח מיומנויות וכוונות עזיבה. כמאמר משלים, לצורך הגשה בשלשה, נבחר מחקר האורך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שפורסם אף הוא בגישה פתוחה ובחן כיצד המודעות לבינה מלאכותית מייצרת חוסר ביטחון תעסוקתי וכיצד חוסן קריירה ממתן זאת. המסגרת התיאורטית של שני המאמרים נשענת על הסקירה האינטגרטיבית של שוס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פרק 1 מציג את המאמר המרכזי. פרק 2 מסכם את תמציתו ואת נקודותיו המרכזיות. פרק 3 מנתח אותו לפי מבנה, שיטה וממצאים. פרק 4 מציג את המאמר המשלים ואת המסגרת התיאורטית. פרק 5 מציג תובנות, מסקנות ודעה אישית, ופרק 6 מציע יישום מעשי לניהול הקריירה של הסטודנטים בכיתה. בנספחים מובאים תכנון המצגת והאמצעים להמחשה ושאלון קצר להערכה עצמית. העבודה מסתיימת ברשימת מקורות על פי כללי </w:t>
      </w:r>
      <w:r>
        <w:rPr>
          <w:rFonts w:ascii="Times New Roman" w:cs="Times New Roman" w:eastAsia="Times New Roman" w:hAnsi="Times New Roman"/>
          <w:sz w:val="24"/>
          <w:szCs w:val="24"/>
        </w:rPr>
        <w:t xml:space="preserve">‎APA‎</w:t>
      </w:r>
      <w:r>
        <w:rPr>
          <w:rFonts w:ascii="David" w:cs="David" w:eastAsia="David" w:hAnsi="David"/>
          <w:sz w:val="24"/>
          <w:szCs w:val="24"/>
          <w:rtl/>
        </w:rPr>
        <w:t xml:space="preserve"> במהדורתם השביעית.</w:t>
      </w:r>
    </w:p>
    <w:p>
      <w:r>
        <w:br w:type="page"/>
      </w:r>
    </w:p>
    <w:p>
      <w:pPr>
        <w:pStyle w:val="Heading1"/>
        <w:bidi/>
        <w:spacing w:after="240" w:before="240" w:line="480"/>
        <w:jc w:val="right"/>
      </w:pPr>
      <w:r>
        <w:rPr>
          <w:rFonts w:ascii="David" w:cs="David" w:eastAsia="David" w:hAnsi="David"/>
          <w:b/>
          <w:bCs/>
          <w:color w:val="1F3864"/>
          <w:sz w:val="32"/>
          <w:szCs w:val="32"/>
          <w:rtl/>
        </w:rPr>
        <w:t xml:space="preserve">פרק 1: הצגת המאמר המרכזי</w:t>
      </w:r>
    </w:p>
    <w:p>
      <w:pPr>
        <w:pStyle w:val="Heading2"/>
        <w:bidi/>
        <w:spacing w:after="120" w:before="240" w:line="480"/>
        <w:jc w:val="right"/>
      </w:pPr>
      <w:r>
        <w:rPr>
          <w:rFonts w:ascii="David" w:cs="David" w:eastAsia="David" w:hAnsi="David"/>
          <w:b/>
          <w:bCs/>
          <w:color w:val="0E6E73"/>
          <w:sz w:val="28"/>
          <w:szCs w:val="28"/>
          <w:rtl/>
        </w:rPr>
        <w:t xml:space="preserve">1.1 פרטי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פריט</w:t>
            </w:r>
          </w:p>
        </w:tc>
        <w:tc>
          <w:tcPr>
            <w:tcW w:type="dxa" w:w="68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פירוט</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שם המאמר</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‎Moving on Up Now? A Meta-Analysis of the Associations Between Job Insecurity and Career-Related Outcomes‎</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מחברים</w:t>
            </w:r>
          </w:p>
        </w:tc>
        <w:tc>
          <w:tcPr>
            <w:tcW w:type="dxa" w:w="6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לנה לוסטד, יעקובוס פינאר, יוהני הלגרן ומגנוס סברקה מאוניברסיטת סטוקהולם, קתרינה נסוול מאוניברסיטת קנטרברי בניו זילנד, ואנה ריכטר ממכון קרולינסקה. סברקה, הלגרן ונסוול הם ממחברי המטא-אנליזה הראשונה בתחום (</w:t>
            </w:r>
            <w:r>
              <w:rPr>
                <w:rFonts w:ascii="Times New Roman" w:cs="Times New Roman" w:eastAsia="Times New Roman" w:hAnsi="Times New Roman"/>
                <w:sz w:val="22"/>
                <w:szCs w:val="22"/>
              </w:rPr>
              <w:t xml:space="preserve">‎Sverke et al., 2002‎</w:t>
            </w:r>
            <w:r>
              <w:rPr>
                <w:rFonts w:ascii="David" w:cs="David" w:eastAsia="David" w:hAnsi="David"/>
                <w:sz w:val="22"/>
                <w:szCs w:val="22"/>
                <w:rtl/>
              </w:rPr>
              <w:t xml:space="preserve">)</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העת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‎Scandinavian Journal of Work and Organizational Psychology‎</w:t>
            </w:r>
            <w:r>
              <w:rPr>
                <w:rFonts w:ascii="David" w:cs="David" w:eastAsia="David" w:hAnsi="David"/>
                <w:sz w:val="22"/>
                <w:szCs w:val="22"/>
                <w:rtl/>
              </w:rPr>
              <w:t xml:space="preserve">, כרך 10, גיליון 1, מאמר 2, עמ' 1-22 (2025). </w:t>
            </w:r>
            <w:r>
              <w:rPr>
                <w:rFonts w:ascii="Times New Roman" w:cs="Times New Roman" w:eastAsia="Times New Roman" w:hAnsi="Times New Roman"/>
                <w:sz w:val="22"/>
                <w:szCs w:val="22"/>
              </w:rPr>
              <w:t xml:space="preserve">‎https://doi.org/10.16993/sjwop.275‎</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סוג המאמר</w:t>
            </w:r>
          </w:p>
        </w:tc>
        <w:tc>
          <w:tcPr>
            <w:tcW w:type="dxa" w:w="6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מטא-אנליזה: מחקר כמותי המאחד סטטיסטית את תוצאותיהם של מחקרים ראשוניים רבים</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 פתוחה מלאה (</w:t>
            </w:r>
            <w:r>
              <w:rPr>
                <w:rFonts w:ascii="Times New Roman" w:cs="Times New Roman" w:eastAsia="Times New Roman" w:hAnsi="Times New Roman"/>
                <w:sz w:val="22"/>
                <w:szCs w:val="22"/>
              </w:rPr>
              <w:t xml:space="preserve">‎Open Access‎</w:t>
            </w:r>
            <w:r>
              <w:rPr>
                <w:rFonts w:ascii="David" w:cs="David" w:eastAsia="David" w:hAnsi="David"/>
                <w:sz w:val="22"/>
                <w:szCs w:val="22"/>
                <w:rtl/>
              </w:rPr>
              <w:t xml:space="preserve">). כתב העת מפרסם את כל מאמריו בחינם לקוראים לאחר שיפוט עמיתים</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תחום</w:t>
            </w:r>
          </w:p>
        </w:tc>
        <w:tc>
          <w:tcPr>
            <w:tcW w:type="dxa" w:w="6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פסיכולוגיה תעסוקתית וארגונית, ניהול קריירה</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מהימנות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עת שפיט (</w:t>
            </w:r>
            <w:r>
              <w:rPr>
                <w:rFonts w:ascii="Times New Roman" w:cs="Times New Roman" w:eastAsia="Times New Roman" w:hAnsi="Times New Roman"/>
                <w:sz w:val="22"/>
                <w:szCs w:val="22"/>
              </w:rPr>
              <w:t xml:space="preserve">‎peer-reviewed‎</w:t>
            </w:r>
            <w:r>
              <w:rPr>
                <w:rFonts w:ascii="David" w:cs="David" w:eastAsia="David" w:hAnsi="David"/>
                <w:sz w:val="22"/>
                <w:szCs w:val="22"/>
                <w:rtl/>
              </w:rPr>
              <w:t xml:space="preserve">) בהוצאת אוניברסיטת סטוקהולם. המחברים נמנים עם קבוצת המחקר המובילה בעולם בנושא חוסר ביטחון תעסוקתי</w:t>
            </w:r>
          </w:p>
        </w:tc>
      </w:tr>
    </w:tbl>
    <w:p>
      <w:pPr>
        <w:spacing w:after="120"/>
      </w:pPr>
    </w:p>
    <w:p>
      <w:pPr>
        <w:pStyle w:val="Heading2"/>
        <w:bidi/>
        <w:spacing w:after="120" w:before="240" w:line="480"/>
        <w:jc w:val="right"/>
      </w:pPr>
      <w:r>
        <w:rPr>
          <w:rFonts w:ascii="David" w:cs="David" w:eastAsia="David" w:hAnsi="David"/>
          <w:b/>
          <w:bCs/>
          <w:color w:val="0E6E73"/>
          <w:sz w:val="28"/>
          <w:szCs w:val="28"/>
          <w:rtl/>
        </w:rPr>
        <w:t xml:space="preserve">1.2 רקע ומטרות המאמר</w:t>
      </w:r>
    </w:p>
    <w:p>
      <w:pPr>
        <w:bidi/>
        <w:spacing w:after="120" w:before="0" w:line="480"/>
        <w:jc w:val="both"/>
      </w:pPr>
      <w:r>
        <w:rPr>
          <w:rFonts w:ascii="David" w:cs="David" w:eastAsia="David" w:hAnsi="David"/>
          <w:sz w:val="24"/>
          <w:szCs w:val="24"/>
          <w:rtl/>
        </w:rPr>
        <w:t xml:space="preserve">נקודת המוצא של המאמר היא פער בספרות. עשרות שנות מחקר, ובהן שתי מטא-אנליזות קודמות, הראו שחוסר ביטחון תעסוקתי פוגע בבריאות, בשביעות הרצון מהעבודה ובמחויבות לארגון (</w:t>
      </w:r>
      <w:r>
        <w:rPr>
          <w:rFonts w:ascii="Times New Roman" w:cs="Times New Roman" w:eastAsia="Times New Roman" w:hAnsi="Times New Roman"/>
          <w:sz w:val="24"/>
          <w:szCs w:val="24"/>
        </w:rPr>
        <w:t xml:space="preserve">‎Sverke et al., 2002‎</w:t>
      </w:r>
      <w:r>
        <w:rPr>
          <w:rFonts w:ascii="David" w:cs="David" w:eastAsia="David" w:hAnsi="David"/>
          <w:sz w:val="24"/>
          <w:szCs w:val="24"/>
          <w:rtl/>
        </w:rPr>
        <w:t xml:space="preserve">). לעומת זאת, השאלה מה קורה לקריירה עצמה נותרה פתוחה. מצד אחד, אפשר לצפות שאיום על המשרה ידרבן עובדים "לטפס", כלומר לפתח מיומנויות, לחפש הזדמנויות ולחזק את יכולת התעסוקה שלהם. מצד שני, אפשר לצפות שהאיום ידלדל את המשאבים הדרושים לכך ויוביל דווקא לנסיגה. כותרת המאמר, "האם מתקדמים למעלה עכשיו?", מנסחת בדיוק את השאלה הזאת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מטרת המאמר היא לספק את המטא-אנליזה הראשונה של הקשרים בין חוסר ביטחון תעסוקתי לבין תוצאות הקשורות לקריירה, ובכלל זה שביעות רצון מהקריירה, הזדמנויות קריירה נתפסות, יכולת תעסוקה נתפסת, פיתוח מיומנויות פרואקטיבי, התנהגויות חיפוש עבודה, הסתרת ידע וכוונות עזיבה של הארגון ושל המקצוע. מטרה נוספת היא לבחון האם עוצמת הקשרים תלויה באופן שבו המחקרים נערכו: במערך המחקר, חתך לעומת אורך, ובאופן המדידה של חוסר הביטחון, קוגניטיבי, רגשי או משולב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1F3864"/>
          <w:sz w:val="32"/>
          <w:szCs w:val="32"/>
          <w:rtl/>
        </w:rPr>
        <w:t xml:space="preserve">פרק 2: תמצית המאמר והנקודות המרכזיות</w:t>
      </w:r>
    </w:p>
    <w:p>
      <w:pPr>
        <w:pStyle w:val="Heading2"/>
        <w:bidi/>
        <w:spacing w:after="120" w:before="240" w:line="480"/>
        <w:jc w:val="right"/>
      </w:pPr>
      <w:r>
        <w:rPr>
          <w:rFonts w:ascii="David" w:cs="David" w:eastAsia="David" w:hAnsi="David"/>
          <w:b/>
          <w:bCs/>
          <w:color w:val="0E6E73"/>
          <w:sz w:val="28"/>
          <w:szCs w:val="28"/>
          <w:rtl/>
        </w:rPr>
        <w:t xml:space="preserve">2.1 הרקע התיאורטי</w:t>
      </w:r>
    </w:p>
    <w:p>
      <w:pPr>
        <w:bidi/>
        <w:spacing w:after="120" w:before="0" w:line="480"/>
        <w:jc w:val="both"/>
      </w:pPr>
      <w:r>
        <w:rPr>
          <w:rFonts w:ascii="David" w:cs="David" w:eastAsia="David" w:hAnsi="David"/>
          <w:sz w:val="24"/>
          <w:szCs w:val="24"/>
          <w:rtl/>
        </w:rPr>
        <w:t xml:space="preserve">המאמר מגדיר חוסר ביטחון תעסוקתי, בעקבות הספרות בתחום, כאיום נתפס על ההמשכיות ועל היציבות של התעסוקה הנוכחית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ההגדרה מבחינה בין ממד קוגניטיבי, שהוא ההערכה עד כמה האיום סביר, לבין ממד רגשי, שהוא הדאגה שהאיום מעורר (</w:t>
      </w:r>
      <w:r>
        <w:rPr>
          <w:rFonts w:ascii="Times New Roman" w:cs="Times New Roman" w:eastAsia="Times New Roman" w:hAnsi="Times New Roman"/>
          <w:sz w:val="24"/>
          <w:szCs w:val="24"/>
        </w:rPr>
        <w:t xml:space="preserve">‎Jiang &amp; Lavaysse, 2018‎</w:t>
      </w:r>
      <w:r>
        <w:rPr>
          <w:rFonts w:ascii="David" w:cs="David" w:eastAsia="David" w:hAnsi="David"/>
          <w:sz w:val="24"/>
          <w:szCs w:val="24"/>
          <w:rtl/>
        </w:rPr>
        <w:t xml:space="preserve">). המסגרת התיאורטית העיקרית היא תיאוריית שימור המשאבים, שלפיה אנשים שואפים לרכוש ולשמר משאבים, ואיום על משאב מרכזי כמו המשרה מוביל למתח ולנטייה להגן על מה שנותר במקום להשקיע ברכישת משאבים חדשים (</w:t>
      </w:r>
      <w:r>
        <w:rPr>
          <w:rFonts w:ascii="Times New Roman" w:cs="Times New Roman" w:eastAsia="Times New Roman" w:hAnsi="Times New Roman"/>
          <w:sz w:val="24"/>
          <w:szCs w:val="24"/>
        </w:rPr>
        <w:t xml:space="preserve">‎Hobfoll, 1989‎</w:t>
      </w:r>
      <w:r>
        <w:rPr>
          <w:rFonts w:ascii="David" w:cs="David" w:eastAsia="David" w:hAnsi="David"/>
          <w:sz w:val="24"/>
          <w:szCs w:val="24"/>
          <w:rtl/>
        </w:rPr>
        <w:t xml:space="preserve">). מכאן נגזרת הציפייה שחוסר ביטחון יקטין השקעה בפיתוח הקריירה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לצד זאת, המאמר מציג את הטיעון הנגדי. לפי המסגרת של שוס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חוסר ביטחון יכול להפעיל גם התמודדות פרואקטיבית: חיפוש עבודה, למידה ובניית רשת קשרים. המטא-אנליזה נועדה להכריע, על בסיס כלל הראיות, איזו מבין שתי התגובות שכיחה יותר בפועל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2.2 שאלות המחקר והתוצאות שנבחנו</w:t>
      </w:r>
    </w:p>
    <w:p>
      <w:pPr>
        <w:bidi/>
        <w:spacing w:after="120" w:before="0" w:line="480"/>
        <w:jc w:val="both"/>
      </w:pPr>
      <w:r>
        <w:rPr>
          <w:rFonts w:ascii="David" w:cs="David" w:eastAsia="David" w:hAnsi="David"/>
          <w:sz w:val="24"/>
          <w:szCs w:val="24"/>
          <w:rtl/>
        </w:rPr>
        <w:t xml:space="preserve">המאמר בוחן שמונה תוצאות קריירה, המחולקות לשלוש קבוצות. הקבוצה הראשונה היא עמדות כלפי הקריירה: שביעות רצון מהקריירה, הזדמנויות קריירה נתפסות ויכולת תעסוקה נתפסת. הקבוצה השנייה היא התנהגויות: פיתוח מיומנויות פרואקטיבי, חיפוש עבודה והסתרת ידע מעמיתים. הקבוצה השלישית היא כוונות: כוונת עזיבה של הארגון וכוונת עזיבה של המקצוע. לכל תוצאה שוער כיוון הקשר, ולאחר מכן נבחן האם מערך המחקר ואופן המדידה משנים את עוצמתו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טבלה 1 מסכמת את התוצאות ואת כיוון הקשר שנמצא.</w:t>
      </w:r>
    </w:p>
    <w:p>
      <w:pPr>
        <w:bidi/>
        <w:spacing w:after="120" w:before="0" w:line="276"/>
        <w:jc w:val="right"/>
      </w:pPr>
      <w:r>
        <w:rPr>
          <w:rFonts w:ascii="David" w:cs="David" w:eastAsia="David" w:hAnsi="David"/>
          <w:b/>
          <w:bCs/>
          <w:sz w:val="22"/>
          <w:szCs w:val="22"/>
          <w:rtl/>
        </w:rPr>
        <w:t xml:space="preserve">טבלה 1: התוצאות שנבחנו במטא-אנליזה וכיוון הקשר עם חוסר ביטחון תעסוקתי</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00"/>
      </w:tblGrid>
      <w:tr>
        <w:trPr>
          <w:tblHeader/>
        </w:trPr>
        <w:tc>
          <w:tcPr>
            <w:tcW w:type="dxa" w:w="2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קבוצה</w:t>
            </w:r>
          </w:p>
        </w:tc>
        <w:tc>
          <w:tcPr>
            <w:tcW w:type="dxa" w:w="3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תוצאה</w:t>
            </w:r>
          </w:p>
        </w:tc>
        <w:tc>
          <w:tcPr>
            <w:tcW w:type="dxa" w:w="32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כיוון הקשר שנמצא</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עמדות כלפי הקריירה</w:t>
            </w: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שביעות רצון מהקריירה</w:t>
            </w:r>
          </w:p>
        </w:tc>
        <w:tc>
          <w:tcPr>
            <w:tcW w:type="dxa" w:w="3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שלילי: ככל שחוסר הביטחון גבוה, שביעות הרצון נמוכה</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הזדמנויות קריירה נתפסות</w:t>
            </w:r>
          </w:p>
        </w:tc>
        <w:tc>
          <w:tcPr>
            <w:tcW w:type="dxa" w:w="3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שלילי</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יכולת תעסוקה נתפסת</w:t>
            </w:r>
          </w:p>
        </w:tc>
        <w:tc>
          <w:tcPr>
            <w:tcW w:type="dxa" w:w="3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שלילי</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התנהגויות</w:t>
            </w: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פיתוח מיומנויות פרואקטיבי</w:t>
            </w:r>
          </w:p>
        </w:tc>
        <w:tc>
          <w:tcPr>
            <w:tcW w:type="dxa" w:w="3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שלילי</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חיפוש עבודה</w:t>
            </w:r>
          </w:p>
        </w:tc>
        <w:tc>
          <w:tcPr>
            <w:tcW w:type="dxa" w:w="3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חיובי: ככל שחוסר הביטחון גבוה, חיפוש העבודה גובר</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הסתרת ידע</w:t>
            </w:r>
          </w:p>
        </w:tc>
        <w:tc>
          <w:tcPr>
            <w:tcW w:type="dxa" w:w="3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חיובי</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כוונות</w:t>
            </w: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כוונת עזיבה של הארגון</w:t>
            </w:r>
          </w:p>
        </w:tc>
        <w:tc>
          <w:tcPr>
            <w:tcW w:type="dxa" w:w="3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חיובי</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כוונת עזיבה של המקצוע</w:t>
            </w:r>
          </w:p>
        </w:tc>
        <w:tc>
          <w:tcPr>
            <w:tcW w:type="dxa" w:w="3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חיובי</w:t>
            </w:r>
          </w:p>
        </w:tc>
      </w:tr>
    </w:tbl>
    <w:p>
      <w:pPr>
        <w:bidi/>
        <w:spacing w:after="120" w:before="0" w:line="276"/>
        <w:jc w:val="right"/>
      </w:pPr>
      <w:r>
        <w:rPr>
          <w:rFonts w:ascii="David" w:cs="David" w:eastAsia="David" w:hAnsi="David"/>
          <w:color w:val="595959"/>
          <w:sz w:val="20"/>
          <w:szCs w:val="20"/>
          <w:rtl/>
        </w:rPr>
        <w:t xml:space="preserve">מקור: עיבוד של המחברים על פי </w:t>
      </w:r>
      <w:r>
        <w:rPr>
          <w:rFonts w:ascii="Times New Roman" w:cs="Times New Roman" w:eastAsia="Times New Roman" w:hAnsi="Times New Roman"/>
          <w:color w:val="595959"/>
          <w:sz w:val="20"/>
          <w:szCs w:val="20"/>
        </w:rPr>
        <w:t xml:space="preserve">‎Låstad et al. (2025)‎</w:t>
      </w:r>
      <w:r>
        <w:rPr>
          <w:rFonts w:ascii="David" w:cs="David" w:eastAsia="David" w:hAnsi="David"/>
          <w:color w:val="595959"/>
          <w:sz w:val="20"/>
          <w:szCs w:val="20"/>
          <w:rtl/>
        </w:rPr>
        <w:t xml:space="preserve">.</w:t>
      </w:r>
    </w:p>
    <w:p>
      <w:pPr>
        <w:pStyle w:val="Heading2"/>
        <w:bidi/>
        <w:spacing w:after="120" w:before="240" w:line="480"/>
        <w:jc w:val="right"/>
      </w:pPr>
      <w:r>
        <w:rPr>
          <w:rFonts w:ascii="David" w:cs="David" w:eastAsia="David" w:hAnsi="David"/>
          <w:b/>
          <w:bCs/>
          <w:color w:val="0E6E73"/>
          <w:sz w:val="28"/>
          <w:szCs w:val="28"/>
          <w:rtl/>
        </w:rPr>
        <w:t xml:space="preserve">2.3 השיטה בקצרה</w:t>
      </w:r>
    </w:p>
    <w:p>
      <w:pPr>
        <w:bidi/>
        <w:spacing w:after="120" w:before="0" w:line="480"/>
        <w:jc w:val="both"/>
      </w:pPr>
      <w:r>
        <w:rPr>
          <w:rFonts w:ascii="David" w:cs="David" w:eastAsia="David" w:hAnsi="David"/>
          <w:sz w:val="24"/>
          <w:szCs w:val="24"/>
          <w:rtl/>
        </w:rPr>
        <w:t xml:space="preserve">המחברים איתרו וקידדו 237 מחקרים ראשוניים שדיווחו על קשר בין חוסר ביטחון תעסוקתי לבין לפחות אחת מהתוצאות, ואיחדו את המתאמים באמצעות שיטות מטא-אנליטיות. בנוסף לאומדן הקשר הכולל לכל תוצאה, נערכו ניתוחי ממתנים לשני מאפיינים מתודולוגיים: מערך המחקר, חתך לעומת אורך, וסוג המדד של חוסר הביטחון, קוגניטיבי, רגשי או משולב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2.4 הממצאים המרכזיים</w:t>
      </w:r>
    </w:p>
    <w:p>
      <w:pPr>
        <w:bidi/>
        <w:spacing w:after="120" w:before="0" w:line="480"/>
        <w:jc w:val="both"/>
      </w:pPr>
      <w:r>
        <w:rPr>
          <w:rFonts w:ascii="David" w:cs="David" w:eastAsia="David" w:hAnsi="David"/>
          <w:sz w:val="24"/>
          <w:szCs w:val="24"/>
          <w:rtl/>
        </w:rPr>
        <w:t xml:space="preserve">הממצא הראשון הוא שחוסר ביטחון תעסוקתי קשור באופן חיובי לכוונת עזיבה של הארגון, לכוונת עזיבה של המקצוע, להתנהגויות חיפוש עבודה ולהסתרת ידע. הממצא השני הוא שהוא קשור באופן שלילי לשביעות רצון מהקריירה, להזדמנויות קריירה נתפסות, ליכולת תעסוקה נתפסת ולפיתוח מיומנויות פרואקטיבי. במילים אחרות, עובדים חסרי ביטחון נוטים "להתקדם הלאה", לחפש עבודה ולתכנן עזיבה, אך לא "להתקדם למעלה", כלומר לא להשקיע בפיתוח מיומנויות ולא לחוש שהקריירה שלהם מתקדמת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הממצא השלישי נוגע לממתנים. הקשרים היו בדרך כלל חזקים יותר במחקרי חתך מאשר במחקרי אורך, מה שמרמז שחלק מעוצמת הקשרים במחקרים בודדים נובע ממדידה בו-זמנית של המשתנים. השפעת סוג המדד, קוגניטיבי, רגשי או משולב, הייתה מעורבת ולא אחידה בין התוצאות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2.5 המסקנות</w:t>
      </w:r>
    </w:p>
    <w:p>
      <w:pPr>
        <w:bidi/>
        <w:spacing w:after="120" w:before="0" w:line="480"/>
        <w:jc w:val="both"/>
      </w:pPr>
      <w:r>
        <w:rPr>
          <w:rFonts w:ascii="David" w:cs="David" w:eastAsia="David" w:hAnsi="David"/>
          <w:sz w:val="24"/>
          <w:szCs w:val="24"/>
          <w:rtl/>
        </w:rPr>
        <w:t xml:space="preserve">המחברים מסיקים שחוסר ביטחון תעסוקתי הוא בעיקרו מעכב של התפתחות הקריירה ולא מדרבן שלה. התגובה הפרואקטיבית שנצפתה מתמצה בחיפוש עבודה ובכוונות עזיבה, כלומר בבריחה מהמצב, ולא בהשקעה בפיתוח עצמי. הסתרת הידע מעידה שהעובד מגן על המשאבים שנותרו לו, כפי שתיאוריית שימור המשאבים חוזה. מסקנה זו מטילה אחריות על ארגונים: מי שמבקש לשמר ידע ומיומנויות בתקופות של אי-ודאות צריך להפחית את חוסר הביטחון או לפצות עליו במשאבים, ולא לצפות שהאיום כשלעצמו ידרבן עובדים להתפתח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1F3864"/>
          <w:sz w:val="32"/>
          <w:szCs w:val="32"/>
          <w:rtl/>
        </w:rPr>
        <w:t xml:space="preserve">פרק 3: ניתוח המאמר לפי מבנה, שיטה וממצאים</w:t>
      </w:r>
    </w:p>
    <w:p>
      <w:pPr>
        <w:pStyle w:val="Heading2"/>
        <w:bidi/>
        <w:spacing w:after="120" w:before="240" w:line="480"/>
        <w:jc w:val="right"/>
      </w:pPr>
      <w:r>
        <w:rPr>
          <w:rFonts w:ascii="David" w:cs="David" w:eastAsia="David" w:hAnsi="David"/>
          <w:b/>
          <w:bCs/>
          <w:color w:val="0E6E73"/>
          <w:sz w:val="28"/>
          <w:szCs w:val="28"/>
          <w:rtl/>
        </w:rPr>
        <w:t xml:space="preserve">3.1 מבנה המאמר</w:t>
      </w:r>
    </w:p>
    <w:p>
      <w:pPr>
        <w:bidi/>
        <w:spacing w:after="120" w:before="0" w:line="480"/>
        <w:jc w:val="both"/>
      </w:pPr>
      <w:r>
        <w:rPr>
          <w:rFonts w:ascii="David" w:cs="David" w:eastAsia="David" w:hAnsi="David"/>
          <w:sz w:val="24"/>
          <w:szCs w:val="24"/>
          <w:rtl/>
        </w:rPr>
        <w:t xml:space="preserve">המאמר בנוי במבנה המקובל למאמר כמותי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טבלה 2 מציגה את חלקיו ואת תרומתו של כל חלק.</w:t>
      </w:r>
    </w:p>
    <w:p>
      <w:pPr>
        <w:bidi/>
        <w:spacing w:after="120" w:before="0" w:line="276"/>
        <w:jc w:val="right"/>
      </w:pPr>
      <w:r>
        <w:rPr>
          <w:rFonts w:ascii="David" w:cs="David" w:eastAsia="David" w:hAnsi="David"/>
          <w:b/>
          <w:bCs/>
          <w:sz w:val="22"/>
          <w:szCs w:val="22"/>
          <w:rtl/>
        </w:rPr>
        <w:t xml:space="preserve">טבלה 2: מבנה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600"/>
      </w:tblGrid>
      <w:tr>
        <w:trPr>
          <w:tblHeader/>
        </w:trPr>
        <w:tc>
          <w:tcPr>
            <w:tcW w:type="dxa" w:w="2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חלק</w:t>
            </w:r>
          </w:p>
        </w:tc>
        <w:tc>
          <w:tcPr>
            <w:tcW w:type="dxa" w:w="4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תוכן</w:t>
            </w:r>
          </w:p>
        </w:tc>
        <w:tc>
          <w:tcPr>
            <w:tcW w:type="dxa" w:w="2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תרומה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מבוא ורקע תיאורטי</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הפער בספרות, תיאוריית שימור המשאבים, שתי התחזיות המנוגדות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ניסוח שאלת המחקר: התקדמות הלאה או התקדמות למעלה</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השערות</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כיוון הקשר לכל אחת משמונה התוצאות ושני ממתנים מתודולוגיים</w:t>
            </w:r>
          </w:p>
        </w:tc>
        <w:tc>
          <w:tcPr>
            <w:tcW w:type="dxa" w:w="2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מסגרת ברורה לבדיקה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שיטה</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איתור המחקרים, קריטריוני הכללה, קידוד, שיטת האיחוד הסטטיסטי</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שקיפות ואפשרות שחזור</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תוצאות</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אומדני הקשר לכל תוצאה וניתוחי הממתנים</w:t>
            </w:r>
          </w:p>
        </w:tc>
        <w:tc>
          <w:tcPr>
            <w:tcW w:type="dxa" w:w="2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הראיה הכמותית</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דיון</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פרשנות הממצאים, מגבלות, השלכות למחקר ולפרקטיקה</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חיבור לתיאוריה ולניהול</w:t>
            </w:r>
          </w:p>
        </w:tc>
      </w:tr>
    </w:tbl>
    <w:p>
      <w:pPr>
        <w:spacing w:after="120"/>
      </w:pPr>
    </w:p>
    <w:p>
      <w:pPr>
        <w:pStyle w:val="Heading2"/>
        <w:bidi/>
        <w:spacing w:after="120" w:before="240" w:line="480"/>
        <w:jc w:val="right"/>
      </w:pPr>
      <w:r>
        <w:rPr>
          <w:rFonts w:ascii="David" w:cs="David" w:eastAsia="David" w:hAnsi="David"/>
          <w:b/>
          <w:bCs/>
          <w:color w:val="0E6E73"/>
          <w:sz w:val="28"/>
          <w:szCs w:val="28"/>
          <w:rtl/>
        </w:rPr>
        <w:t xml:space="preserve">3.2 השיטה</w:t>
      </w:r>
    </w:p>
    <w:p>
      <w:pPr>
        <w:bidi/>
        <w:spacing w:after="120" w:before="0" w:line="480"/>
        <w:jc w:val="both"/>
      </w:pPr>
      <w:r>
        <w:rPr>
          <w:rFonts w:ascii="David" w:cs="David" w:eastAsia="David" w:hAnsi="David"/>
          <w:sz w:val="24"/>
          <w:szCs w:val="24"/>
          <w:rtl/>
        </w:rPr>
        <w:t xml:space="preserve">מטא-אנליזה היא שיטה כמותית שבה מאחדים את תוצאותיהם של מחקרים ראשוניים רבים לאומדן אחד, לאחר תיקון להבדלים בגודל המדגם ובמהימנות המדידה. יתרונה הגדול הוא שהיא מחליפה את התמונה המפוצלת של מחקרים בודדים, שכל אחד מהם נערך במדגם ובהקשר אחרים, באומדן מבוסס על כלל הראיות. יתרון נוסף הוא היכולת לבחון ממתנים, כלומר האם מאפייני המחקרים משנים את עוצמת הקשר. במאמר זה הבדיקה של מערך המחקר וסוג המדד היא בדיוק בדיקה כזאת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לשיטה גם מגבלות, וחלקן מוזכרות במאמר עצמו. ראשית, מטא-אנליזה של מתאמים אינה מוכיחה סיבתיות, ורוב המחקרים הראשוניים הם מחקרי חתך המבוססים על דיווח עצמי. הממצא שהקשרים חלשים יותר במחקרי אורך מחזק את החשש הזה. שנית, קיימת אפשרות של הטיית פרסום, שכן מחקרים שמצאו קשרים מובהקים מתפרסמים בשכיחות גבוהה יותר. שלישית, המחקרים הראשוניים מגיעים בעיקר ממדינות מערביות ומאסיה, והמאמר אינו יכול לומר הרבה על הקשרים ייחודיים כמו זה הישראלי. רביעית, איחוד של מדדים שונים לאותה תוצאה מסתיר הבדלים בין הגדרות, וזה עשוי להסביר מדוע השפעת סוג המדד יצאה מעורבת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3.3 הממצאים והמסקנות</w:t>
      </w:r>
    </w:p>
    <w:p>
      <w:pPr>
        <w:bidi/>
        <w:spacing w:after="120" w:before="0" w:line="480"/>
        <w:jc w:val="both"/>
      </w:pPr>
      <w:r>
        <w:rPr>
          <w:rFonts w:ascii="David" w:cs="David" w:eastAsia="David" w:hAnsi="David"/>
          <w:sz w:val="24"/>
          <w:szCs w:val="24"/>
          <w:rtl/>
        </w:rPr>
        <w:t xml:space="preserve">הממצאים ניתנים לסיכום בשלוש קביעות. ראשית, חוסר ביטחון תעסוקתי מגביר את הנטייה לעזוב ולחפש עבודה ומקטין את שביעות הרצון מהקריירה ואת תחושת ההזדמנויות ויכולת התעסוקה. שנית, ובניגוד לתקווה שאיום ידרבן התפתחות, חוסר ביטחון מקטין פיתוח מיומנויות פרואקטיבי ומגביר הסתרת ידע. שלישית, הקשרים אמיתיים אך כנראה קטנים יותר ממה שמחקרי חתך בודדים מציגים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המסקנה לניהול קריירה היא שאין לסמוך על האיום כמנוע לצמיחה: את המשאבים לפיתוח צריך לבנות לפני שהאיום מגיע, ולא לצפות שהוא ייצור אותם.</w:t>
      </w:r>
    </w:p>
    <w:p>
      <w:r>
        <w:br w:type="page"/>
      </w:r>
    </w:p>
    <w:p>
      <w:pPr>
        <w:pStyle w:val="Heading1"/>
        <w:bidi/>
        <w:spacing w:after="240" w:before="240" w:line="480"/>
        <w:jc w:val="right"/>
      </w:pPr>
      <w:r>
        <w:rPr>
          <w:rFonts w:ascii="David" w:cs="David" w:eastAsia="David" w:hAnsi="David"/>
          <w:b/>
          <w:bCs/>
          <w:color w:val="1F3864"/>
          <w:sz w:val="32"/>
          <w:szCs w:val="32"/>
          <w:rtl/>
        </w:rPr>
        <w:t xml:space="preserve">פרק 4: המאמר המשלים והמסגרת התיאורטית</w:t>
      </w:r>
    </w:p>
    <w:p>
      <w:pPr>
        <w:pStyle w:val="Heading2"/>
        <w:bidi/>
        <w:spacing w:after="120" w:before="240" w:line="480"/>
        <w:jc w:val="right"/>
      </w:pPr>
      <w:r>
        <w:rPr>
          <w:rFonts w:ascii="David" w:cs="David" w:eastAsia="David" w:hAnsi="David"/>
          <w:b/>
          <w:bCs/>
          <w:color w:val="0E6E73"/>
          <w:sz w:val="28"/>
          <w:szCs w:val="28"/>
          <w:rtl/>
        </w:rPr>
        <w:t xml:space="preserve">4.1 המאמר המשלים</w:t>
      </w:r>
    </w:p>
    <w:p>
      <w:pPr>
        <w:bidi/>
        <w:spacing w:after="120" w:before="0" w:line="480"/>
        <w:jc w:val="both"/>
      </w:pPr>
      <w:r>
        <w:rPr>
          <w:rFonts w:ascii="David" w:cs="David" w:eastAsia="David" w:hAnsi="David"/>
          <w:sz w:val="24"/>
          <w:szCs w:val="24"/>
          <w:rtl/>
        </w:rPr>
        <w:t xml:space="preserve">המאמר </w:t>
      </w:r>
      <w:r>
        <w:rPr>
          <w:rFonts w:ascii="Times New Roman" w:cs="Times New Roman" w:eastAsia="Times New Roman" w:hAnsi="Times New Roman"/>
          <w:sz w:val="24"/>
          <w:szCs w:val="24"/>
        </w:rPr>
        <w:t xml:space="preserve">‎Artificial Intelligence Awareness, Career Resilience, Job Insecurity and Behavioural Outcomes‎</w:t>
      </w:r>
      <w:r>
        <w:rPr>
          <w:rFonts w:ascii="David" w:cs="David" w:eastAsia="David" w:hAnsi="David"/>
          <w:sz w:val="24"/>
          <w:szCs w:val="24"/>
          <w:rtl/>
        </w:rPr>
        <w:t xml:space="preserve"> פורסם בכתב העת השפיט </w:t>
      </w:r>
      <w:r>
        <w:rPr>
          <w:rFonts w:ascii="Times New Roman" w:cs="Times New Roman" w:eastAsia="Times New Roman" w:hAnsi="Times New Roman"/>
          <w:sz w:val="24"/>
          <w:szCs w:val="24"/>
        </w:rPr>
        <w:t xml:space="preserve">‎Australian Journal of Psychology‎</w:t>
      </w:r>
      <w:r>
        <w:rPr>
          <w:rFonts w:ascii="David" w:cs="David" w:eastAsia="David" w:hAnsi="David"/>
          <w:sz w:val="24"/>
          <w:szCs w:val="24"/>
          <w:rtl/>
        </w:rPr>
        <w:t xml:space="preserve"> בספטמבר 2025, בגישה פתוחה מלאה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המחברים, יאנג וון צ'ונג, סונגהי אים, ג'ונג און קים וג'ונג קוון יון מאוניברסיטת סוּוֹן בדרום קוריאה, בחנו את ההשלכות של מודעות לבינה מלאכותית, כלומר תפיסת העובד שטכנולוגיות בינה מלאכותית עלולות להחליף אותו או לשנות את תפקידו, על חוסר ביטחון תעסוקתי, על ביצועי משימה ועל התנהגות סוטה בעבודה.</w:t>
      </w:r>
    </w:p>
    <w:p>
      <w:pPr>
        <w:bidi/>
        <w:spacing w:after="120" w:before="0" w:line="480"/>
        <w:jc w:val="both"/>
      </w:pPr>
      <w:r>
        <w:rPr>
          <w:rFonts w:ascii="David" w:cs="David" w:eastAsia="David" w:hAnsi="David"/>
          <w:sz w:val="24"/>
          <w:szCs w:val="24"/>
          <w:rtl/>
        </w:rPr>
        <w:t xml:space="preserve">הנתונים נאספו בסקר בשלוש נקודות זמן מעובדי משרד במשרה מלאה בדרום קוריאה. הממצאים מראים שמודעות לבינה מלאכותית מגבירה חוסר ביטחון תעסוקתי, ושחוסר הביטחון מתווך את הקשר בין המודעות לבין ירידה בביצועי המשימה ועלייה בהתנהגות סוטה. הממצא החשוב ביותר לעבודה זו הוא תפקידו של חוסן הקריירה: אצל עובדים בעלי חוסן קריירה גבוה, הקשר בין המודעות לבינה מלאכותית לבין חוסר הביטחון היה חלש יותר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שני המאמרים משלימים זה את זה. לוסטד ואחרים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מראים, על בסיס 237 מחקרים, מה חוסר הביטחון עושה לקריירה.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מראים מהיכן מגיע חוסר הביטחון של שנת 2026, הבינה המלאכותית, ומה ממתן אותו, חוסן קריירה. יחד הם מספקים גם את האבחנה וגם את כיוון הטיפול.</w:t>
      </w:r>
    </w:p>
    <w:p>
      <w:pPr>
        <w:pStyle w:val="Heading2"/>
        <w:bidi/>
        <w:spacing w:after="120" w:before="240" w:line="480"/>
        <w:jc w:val="right"/>
      </w:pPr>
      <w:r>
        <w:rPr>
          <w:rFonts w:ascii="David" w:cs="David" w:eastAsia="David" w:hAnsi="David"/>
          <w:b/>
          <w:bCs/>
          <w:color w:val="0E6E73"/>
          <w:sz w:val="28"/>
          <w:szCs w:val="28"/>
          <w:rtl/>
        </w:rPr>
        <w:t xml:space="preserve">4.2 המסגרת התיאורטית</w:t>
      </w:r>
    </w:p>
    <w:p>
      <w:pPr>
        <w:bidi/>
        <w:spacing w:after="120" w:before="0" w:line="480"/>
        <w:jc w:val="both"/>
      </w:pPr>
      <w:r>
        <w:rPr>
          <w:rFonts w:ascii="David" w:cs="David" w:eastAsia="David" w:hAnsi="David"/>
          <w:sz w:val="24"/>
          <w:szCs w:val="24"/>
          <w:rtl/>
        </w:rPr>
        <w:t xml:space="preserve">שני המאמרים נשענים על הסקירה האינטגרטיבית של שוס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שהציעה מסגרת מושגית לחוסר ביטחון תעסוקתי. לפי מסגרת זו, חוסר ביטחון משפיע על העובד דרך ארבעה מנגנונים: לחץ, המבוסס על תיאוריית ההערכה וההתמודדות (</w:t>
      </w:r>
      <w:r>
        <w:rPr>
          <w:rFonts w:ascii="Times New Roman" w:cs="Times New Roman" w:eastAsia="Times New Roman" w:hAnsi="Times New Roman"/>
          <w:sz w:val="24"/>
          <w:szCs w:val="24"/>
        </w:rPr>
        <w:t xml:space="preserve">‎Lazarus &amp; Folkman, 1984‎</w:t>
      </w:r>
      <w:r>
        <w:rPr>
          <w:rFonts w:ascii="David" w:cs="David" w:eastAsia="David" w:hAnsi="David"/>
          <w:sz w:val="24"/>
          <w:szCs w:val="24"/>
          <w:rtl/>
        </w:rPr>
        <w:t xml:space="preserve">) ועל תיאוריית שימור המשאבים (</w:t>
      </w:r>
      <w:r>
        <w:rPr>
          <w:rFonts w:ascii="Times New Roman" w:cs="Times New Roman" w:eastAsia="Times New Roman" w:hAnsi="Times New Roman"/>
          <w:sz w:val="24"/>
          <w:szCs w:val="24"/>
        </w:rPr>
        <w:t xml:space="preserve">‎Hobfoll, 1989‎</w:t>
      </w:r>
      <w:r>
        <w:rPr>
          <w:rFonts w:ascii="David" w:cs="David" w:eastAsia="David" w:hAnsi="David"/>
          <w:sz w:val="24"/>
          <w:szCs w:val="24"/>
          <w:rtl/>
        </w:rPr>
        <w:t xml:space="preserve">); חליפין חברתי, שבו העובד תופס את חוסר הביטחון כהפרה של החוזה הפסיכולוגי; מוטיבציה לשימור המשרה, שבה העובד "מתכופף", מגביר מאמץ ונמנע מביקורת; והתמודדות פרואקטיבית של למידה, נטוורקינג וחיפוש חלופות. שוס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הציעה גם שלוש קטגוריות של משתנים ממתנים: מאפייני האיום, פגיעוּת כלכלית ופגיעוּת פסיכולוגית.</w:t>
      </w:r>
    </w:p>
    <w:p>
      <w:pPr>
        <w:bidi/>
        <w:spacing w:after="120" w:before="0" w:line="480"/>
        <w:jc w:val="both"/>
      </w:pPr>
      <w:r>
        <w:rPr>
          <w:rFonts w:ascii="David" w:cs="David" w:eastAsia="David" w:hAnsi="David"/>
          <w:sz w:val="24"/>
          <w:szCs w:val="24"/>
          <w:rtl/>
        </w:rPr>
        <w:t xml:space="preserve">המטא-אנליזה של לוסטד ואחרים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מאפשרת להכריע בין המנגנונים בכל הנוגע לקריירה: הסתרת הידע והירידה בפיתוח מיומנויות מתאימות למנגנון שימור המשרה ולדינמיקת ההגנה על משאבים, ואילו חיפוש העבודה וכוונות העזיבה הן הביטוי היחיד של התמודדות פרואקטיבית שנמצא בעקביות. חוסן הקריירה שבחנו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הוא דוגמה למשתנה ממתן מהקטגוריה הפסיכולוגית. ההבחנה בין חוסר ביטחון כמותי, חשש לאבד את המשרה, לבין חוסר ביטחון איכותני, חשש לאבד מאפיינים חשובים שלה (</w:t>
      </w:r>
      <w:r>
        <w:rPr>
          <w:rFonts w:ascii="Times New Roman" w:cs="Times New Roman" w:eastAsia="Times New Roman" w:hAnsi="Times New Roman"/>
          <w:sz w:val="24"/>
          <w:szCs w:val="24"/>
        </w:rPr>
        <w:t xml:space="preserve">‎Hellgren et al., 1999‎</w:t>
      </w:r>
      <w:r>
        <w:rPr>
          <w:rFonts w:ascii="David" w:cs="David" w:eastAsia="David" w:hAnsi="David"/>
          <w:sz w:val="24"/>
          <w:szCs w:val="24"/>
          <w:rtl/>
        </w:rPr>
        <w:t xml:space="preserve">), רלוונטית במיוחד לבינה מלאכותית, שמשנה תפקידים גם כשאינה מבטלת אותם.</w:t>
      </w:r>
    </w:p>
    <w:p>
      <w:r>
        <w:br w:type="page"/>
      </w:r>
    </w:p>
    <w:p>
      <w:pPr>
        <w:pStyle w:val="Heading1"/>
        <w:bidi/>
        <w:spacing w:after="240" w:before="240" w:line="480"/>
        <w:jc w:val="right"/>
      </w:pPr>
      <w:r>
        <w:rPr>
          <w:rFonts w:ascii="David" w:cs="David" w:eastAsia="David" w:hAnsi="David"/>
          <w:b/>
          <w:bCs/>
          <w:color w:val="1F3864"/>
          <w:sz w:val="32"/>
          <w:szCs w:val="32"/>
          <w:rtl/>
        </w:rPr>
        <w:t xml:space="preserve">פרק 5: תובנות, מסקנות ודעה אישית</w:t>
      </w:r>
    </w:p>
    <w:p>
      <w:pPr>
        <w:pStyle w:val="Heading2"/>
        <w:bidi/>
        <w:spacing w:after="120" w:before="240" w:line="480"/>
        <w:jc w:val="right"/>
      </w:pPr>
      <w:r>
        <w:rPr>
          <w:rFonts w:ascii="David" w:cs="David" w:eastAsia="David" w:hAnsi="David"/>
          <w:b/>
          <w:bCs/>
          <w:color w:val="0E6E73"/>
          <w:sz w:val="28"/>
          <w:szCs w:val="28"/>
          <w:rtl/>
        </w:rPr>
        <w:t xml:space="preserve">5.1 תובנות מרכזיות</w:t>
      </w:r>
    </w:p>
    <w:p>
      <w:pPr>
        <w:bidi/>
        <w:spacing w:after="120" w:before="0" w:line="480"/>
        <w:jc w:val="both"/>
      </w:pPr>
      <w:r>
        <w:rPr>
          <w:rFonts w:ascii="David" w:cs="David" w:eastAsia="David" w:hAnsi="David"/>
          <w:sz w:val="24"/>
          <w:szCs w:val="24"/>
          <w:rtl/>
        </w:rPr>
        <w:t xml:space="preserve">התובנה הראשונה היא שחוסר ביטחון דוחף "הלאה" ולא "למעלה". עובדים חסרי ביטחון מחפשים עבודה ומתכננים עזיבה, אך אינם משקיעים בפיתוח מיומנויות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עבור מי שמנהל קריירה, פירוש הדבר שהתגובה הטבעית לאיום אינה בהכרח התגובה המועילה.</w:t>
      </w:r>
    </w:p>
    <w:p>
      <w:pPr>
        <w:bidi/>
        <w:spacing w:after="120" w:before="0" w:line="480"/>
        <w:jc w:val="both"/>
      </w:pPr>
      <w:r>
        <w:rPr>
          <w:rFonts w:ascii="David" w:cs="David" w:eastAsia="David" w:hAnsi="David"/>
          <w:sz w:val="24"/>
          <w:szCs w:val="24"/>
          <w:rtl/>
        </w:rPr>
        <w:t xml:space="preserve">התובנה השנייה היא מעגל קסמים. חוסר ביטחון מקטין את יכולת התעסוקה הנתפסת ואת פיתוח המיומנויות, שהם בדיוק המשאבים שמגנים מפני חוסר ביטחון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תיאוריית שימור המשאבים מכנה זאת ספירלת אובדן: אובדן משאב אחד מקשה על רכישת משאבים נוספים (</w:t>
      </w:r>
      <w:r>
        <w:rPr>
          <w:rFonts w:ascii="Times New Roman" w:cs="Times New Roman" w:eastAsia="Times New Roman" w:hAnsi="Times New Roman"/>
          <w:sz w:val="24"/>
          <w:szCs w:val="24"/>
        </w:rPr>
        <w:t xml:space="preserve">‎Hobfoll, 1989‎</w:t>
      </w:r>
      <w:r>
        <w:rPr>
          <w:rFonts w:ascii="David" w:cs="David" w:eastAsia="David" w:hAnsi="David"/>
          <w:sz w:val="24"/>
          <w:szCs w:val="24"/>
          <w:rtl/>
        </w:rPr>
        <w:t xml:space="preserve">). לכן את ההשקעה בעצמי צריך לעשות דווקא כשהיא נראית הכי פחות דחופה, בתקופות של יציבות.</w:t>
      </w:r>
    </w:p>
    <w:p>
      <w:pPr>
        <w:bidi/>
        <w:spacing w:after="120" w:before="0" w:line="480"/>
        <w:jc w:val="both"/>
      </w:pPr>
      <w:r>
        <w:rPr>
          <w:rFonts w:ascii="David" w:cs="David" w:eastAsia="David" w:hAnsi="David"/>
          <w:sz w:val="24"/>
          <w:szCs w:val="24"/>
          <w:rtl/>
        </w:rPr>
        <w:t xml:space="preserve">התובנה השלישית נוגעת לארגון. הסתרת ידע היא תגובה רציונלית של עובד שחושש שהידע שלו הוא הדבר היחיד שמונע את פיטוריו, אך היא הרסנית לארגון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ארגון שמייצר חוסר ביטחון כדי "לדרבן" את העובדים משלם על כך באובדן שיתוף ידע.</w:t>
      </w:r>
    </w:p>
    <w:p>
      <w:pPr>
        <w:bidi/>
        <w:spacing w:after="120" w:before="0" w:line="480"/>
        <w:jc w:val="both"/>
      </w:pPr>
      <w:r>
        <w:rPr>
          <w:rFonts w:ascii="David" w:cs="David" w:eastAsia="David" w:hAnsi="David"/>
          <w:sz w:val="24"/>
          <w:szCs w:val="24"/>
          <w:rtl/>
        </w:rPr>
        <w:t xml:space="preserve">התובנה הרביעית היא שהאיום של 2026 הוא בעיקר איכותני. הבינה המלאכותית משנה את תוכן התפקיד גם כשהמשרה נשמרת (</w:t>
      </w:r>
      <w:r>
        <w:rPr>
          <w:rFonts w:ascii="Times New Roman" w:cs="Times New Roman" w:eastAsia="Times New Roman" w:hAnsi="Times New Roman"/>
          <w:sz w:val="24"/>
          <w:szCs w:val="24"/>
        </w:rPr>
        <w:t xml:space="preserve">‎Hellgren et al., 1999‎</w:t>
      </w:r>
      <w:r>
        <w:rPr>
          <w:rFonts w:ascii="David" w:cs="David" w:eastAsia="David" w:hAnsi="David"/>
          <w:sz w:val="24"/>
          <w:szCs w:val="24"/>
          <w:rtl/>
        </w:rPr>
        <w:t xml:space="preserve">), ובנק ישראל (2025) מעריך שכחמישית מהמועסקים נמצאים במקצועות שבהם הביקוש יירד. ממצאי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מראים שעצם המודעות לבינה מלאכותית, עוד לפני שינוי בפועל, מספיקה כדי לייצר חוסר ביטחון. התובנה החמישית היא שחוסן קריירה ניתן לבנייה, והוא ממתן את הקשר בין המודעות לאיום לבין תחושת חוסר הביטחון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5.2 מסקנות</w:t>
      </w:r>
    </w:p>
    <w:p>
      <w:pPr>
        <w:bidi/>
        <w:spacing w:after="120" w:before="0" w:line="480"/>
        <w:jc w:val="both"/>
      </w:pPr>
      <w:r>
        <w:rPr>
          <w:rFonts w:ascii="David" w:cs="David" w:eastAsia="David" w:hAnsi="David"/>
          <w:sz w:val="24"/>
          <w:szCs w:val="24"/>
          <w:rtl/>
        </w:rPr>
        <w:t xml:space="preserve">המסקנה המרכזית היא שבעולם שבו חוסר ודאות הוא ברירת המחדל, ניהול קריירה טוב פירושו לבנות מראש את המשאבים שהאיום ידלדל: יכולת תעסוקה, מיומנויות מבוקשות, חוסן קריירה ורשת קשרים. מי שמחכה לאיום כדי להתחיל להשקיע בעצמו מגלה שהאיום גזל ממנו את היכולת לעשות זאת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ברמה הארגונית, המסקנה היא שחוסר ביטחון אינו כלי ניהולי. ארגון שרוצה לשמר ידע ומיומנויות בתקופת שינוי צריך להפחית את חוסר הביטחון באמצעות תקשורת שקופה והוגנות, או לפצות עליו בהשקעה גלויה ביכולת התעסוקה של העובדים (</w:t>
      </w:r>
      <w:r>
        <w:rPr>
          <w:rFonts w:ascii="Times New Roman" w:cs="Times New Roman" w:eastAsia="Times New Roman" w:hAnsi="Times New Roman"/>
          <w:sz w:val="24"/>
          <w:szCs w:val="24"/>
        </w:rPr>
        <w:t xml:space="preserve">‎Låstad et al., 2025; Shoss, 2017‎</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5.3 דעה אישית וביקורת</w:t>
      </w:r>
    </w:p>
    <w:p>
      <w:pPr>
        <w:bidi/>
        <w:spacing w:after="120" w:before="0" w:line="276"/>
        <w:jc w:val="both"/>
      </w:pPr>
      <w:r>
        <w:rPr>
          <w:rFonts w:ascii="David" w:cs="David" w:eastAsia="David" w:hAnsi="David"/>
          <w:i/>
          <w:iCs/>
          <w:sz w:val="22"/>
          <w:szCs w:val="22"/>
          <w:rtl/>
        </w:rPr>
        <w:t xml:space="preserve">חלק זה נכתב בגוף ראשון, בהתאם לדרישת המטלה להביע דעה אישית על המאמר.</w:t>
      </w:r>
    </w:p>
    <w:p>
      <w:pPr>
        <w:bidi/>
        <w:spacing w:after="120" w:before="0" w:line="480"/>
        <w:jc w:val="both"/>
      </w:pPr>
      <w:r>
        <w:rPr>
          <w:rFonts w:ascii="David" w:cs="David" w:eastAsia="David" w:hAnsi="David"/>
          <w:sz w:val="24"/>
          <w:szCs w:val="24"/>
          <w:rtl/>
        </w:rPr>
        <w:t xml:space="preserve">מה שאהבנו במאמר הוא שהוא עונה על שאלה שרובנו שואלים את עצמנו בלי לנסח אותה: האם הפחד יעשה אותנו טובים יותר? התשובה, שלא, ושהפחד בעיקר גורם לנו לברוח ולהסתיר, הייתה מפתיעה ומשכנעת, משום שהיא מבוססת על 237 מחקרים ולא על מחקר בודד. אהבנו גם את הכותרת, שמצליחה להכניס את כל המאמר לשלוש מילים, ואת הכנות של המחברים לגבי המגבלות של מחקרי חתך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העובדה שהמאמר זמין לכולם בחינם חשובה בעינינו: זה מאמר שאפשר לשלוח לחבר שמפחד מפיטורים, ולא רק לצטט בעבודה.</w:t>
      </w:r>
    </w:p>
    <w:p>
      <w:pPr>
        <w:bidi/>
        <w:spacing w:after="120" w:before="0" w:line="480"/>
        <w:jc w:val="both"/>
      </w:pPr>
      <w:r>
        <w:rPr>
          <w:rFonts w:ascii="David" w:cs="David" w:eastAsia="David" w:hAnsi="David"/>
          <w:sz w:val="24"/>
          <w:szCs w:val="24"/>
          <w:rtl/>
        </w:rPr>
        <w:t xml:space="preserve">חסרו לנו שלושה דברים. ראשית, המאמר מכמת את הקשרים אך אינו מציע מה לעשות איתם, ואת "מפת החוסן" בפרק 6 נאלצנו לבנות בעצמנו. שנית, המאמר אינו מבחין בין חוסר ביטחון כמותי לאיכותני, ובעידן של בינה מלאכותית זו ההבחנה החשובה ביותר (</w:t>
      </w:r>
      <w:r>
        <w:rPr>
          <w:rFonts w:ascii="Times New Roman" w:cs="Times New Roman" w:eastAsia="Times New Roman" w:hAnsi="Times New Roman"/>
          <w:sz w:val="24"/>
          <w:szCs w:val="24"/>
        </w:rPr>
        <w:t xml:space="preserve">‎Hellgren et al., 1999‎</w:t>
      </w:r>
      <w:r>
        <w:rPr>
          <w:rFonts w:ascii="David" w:cs="David" w:eastAsia="David" w:hAnsi="David"/>
          <w:sz w:val="24"/>
          <w:szCs w:val="24"/>
          <w:rtl/>
        </w:rPr>
        <w:t xml:space="preserve">). שלישית, המחקרים הראשוניים אינם כוללים, ככל הידוע לנו, הקשר כמו הישראלי, שבו חוסר הביטחון מגיע גם מהמלחמה ומהמילואים ולא רק מהארגון. המאמר המשלים ממלא חלק מהפער, כי הוא מתמקד בבינה מלאכותית, אך גם הוא נערך במדגם קוריאני אחד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עמדתנו היא שהממצאים מאתגרים את המסר של "ממשבר להזדמנות" שלמדנו בקורס (דבדבני דקל, 2026ב), ובה בעת מחדדים אותו. משבר הופך להזדמנות רק אצל מי שיש לו משאבים לנצל אותה. בלי משאבים, המאמר מראה, האיום מייצר בריחה והסתרה. לכן המסר שלנו לכיתה הוא לא "אל תפחדו", אלא "בנו את הכרית לפני שתצטרכו אותה".</w:t>
      </w:r>
    </w:p>
    <w:p>
      <w:r>
        <w:br w:type="page"/>
      </w:r>
    </w:p>
    <w:p>
      <w:pPr>
        <w:pStyle w:val="Heading1"/>
        <w:bidi/>
        <w:spacing w:after="240" w:before="240" w:line="480"/>
        <w:jc w:val="right"/>
      </w:pPr>
      <w:r>
        <w:rPr>
          <w:rFonts w:ascii="David" w:cs="David" w:eastAsia="David" w:hAnsi="David"/>
          <w:b/>
          <w:bCs/>
          <w:color w:val="1F3864"/>
          <w:sz w:val="32"/>
          <w:szCs w:val="32"/>
          <w:rtl/>
        </w:rPr>
        <w:t xml:space="preserve">פרק 6: יישום מעשי בניהול קריירה</w:t>
      </w:r>
    </w:p>
    <w:p>
      <w:pPr>
        <w:pStyle w:val="Heading2"/>
        <w:bidi/>
        <w:spacing w:after="120" w:before="240" w:line="480"/>
        <w:jc w:val="right"/>
      </w:pPr>
      <w:r>
        <w:rPr>
          <w:rFonts w:ascii="David" w:cs="David" w:eastAsia="David" w:hAnsi="David"/>
          <w:b/>
          <w:bCs/>
          <w:color w:val="0E6E73"/>
          <w:sz w:val="28"/>
          <w:szCs w:val="28"/>
          <w:rtl/>
        </w:rPr>
        <w:t xml:space="preserve">6.1 מפת החוסן התעסוקתי: כלי אישי הנגזר מהמאמרים</w:t>
      </w:r>
    </w:p>
    <w:p>
      <w:pPr>
        <w:bidi/>
        <w:spacing w:after="120" w:before="0" w:line="480"/>
        <w:jc w:val="both"/>
      </w:pPr>
      <w:r>
        <w:rPr>
          <w:rFonts w:ascii="David" w:cs="David" w:eastAsia="David" w:hAnsi="David"/>
          <w:sz w:val="24"/>
          <w:szCs w:val="24"/>
          <w:rtl/>
        </w:rPr>
        <w:t xml:space="preserve">ממצאי שני המאמרים תורגמו בעבודה זו לכלי עבודה אישי בן ארבעה שלבים, שכל סטודנט בכיתה יכול למלא בעצמו. הרעיון הוא לשבור את מעגל הקסמים שהמטא-אנליזה מתארת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להשקיע בפיתוח מיומנויות וביכולת תעסוקה לפני שהאיום מדלדל את היכולת לעשות זאת, ולבנות חוסן קריירה שממתן את תגובת חוסר הביטחון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טבלה 3 מציגה את הכלי.</w:t>
      </w:r>
    </w:p>
    <w:p>
      <w:pPr>
        <w:bidi/>
        <w:spacing w:after="120" w:before="0" w:line="276"/>
        <w:jc w:val="right"/>
      </w:pPr>
      <w:r>
        <w:rPr>
          <w:rFonts w:ascii="David" w:cs="David" w:eastAsia="David" w:hAnsi="David"/>
          <w:b/>
          <w:bCs/>
          <w:sz w:val="22"/>
          <w:szCs w:val="22"/>
          <w:rtl/>
        </w:rPr>
        <w:t xml:space="preserve">טבלה 3: מפת החוסן התעסוקתי</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שלב</w:t>
            </w:r>
          </w:p>
        </w:tc>
        <w:tc>
          <w:tcPr>
            <w:tcW w:type="dxa" w:w="3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שאלות מנחות</w:t>
            </w:r>
          </w:p>
        </w:tc>
        <w:tc>
          <w:tcPr>
            <w:tcW w:type="dxa" w:w="3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פעולות מומלצות</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 הערכת האיום</w:t>
            </w: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 ההסתברות הריאלית? האם האיום כמותי (המשרה) או איכותני (תוכן התפקיד)? מה בשליטתי?</w:t>
            </w: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להחליף שמועות במידע: שיחה ישירה עם המנהל, מעקב אחר מצב החברה והענף, מיפוי אילו חלקים בתפקיד הבינה המלאכותית משנה</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 שבירת המעגל: פיתוח מיומנויות</w:t>
            </w: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 למדתי בשנה האחרונה? אילו מיומנויות מבוקשות בענף שלי חסרות לי?</w:t>
            </w: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יעד למידה שנתי אחד וזמן שבועי קבוע לו. רכישת מיומנויות בינה מלאכותית בתחום העיסוק. עדכון קורות חיים ופרופיל מקצועי אחת לחצי שנה</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3. בניית חוסן קריירה</w:t>
            </w: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עד כמה הזהות שלי תלויה בתפקיד הנוכחי? כמה זמן אחזיק מעמד כלכלית? למי אפנה?</w:t>
            </w:r>
          </w:p>
        </w:tc>
        <w:tc>
          <w:tcPr>
            <w:tcW w:type="dxa" w:w="3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זהות מקצועית שאינה תלויה בארגון. קרן חירום של שלושה עד שישה חודשי הוצאות. רשת תמיכה של משפחה, חברים ומנטור</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4. בחירת התגובה</w:t>
            </w: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האם אני בורח (חיפוש עבודה בלבד), מסתיר (שומר ידע לעצמי) או מתפתח?</w:t>
            </w:r>
          </w:p>
        </w:tc>
        <w:tc>
          <w:tcPr>
            <w:tcW w:type="dxa" w:w="3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לשתף ידע במקום להסתיר, כי זה בונה מוניטין ורשת. לחפש עבודה רק לאחר שמיפיתי מה אני רוצה לפתח, ולא רק ממה אני בורח</w:t>
            </w:r>
          </w:p>
        </w:tc>
      </w:tr>
    </w:tbl>
    <w:p>
      <w:pPr>
        <w:bidi/>
        <w:spacing w:after="120" w:before="0" w:line="276"/>
        <w:jc w:val="right"/>
      </w:pPr>
      <w:r>
        <w:rPr>
          <w:rFonts w:ascii="David" w:cs="David" w:eastAsia="David" w:hAnsi="David"/>
          <w:color w:val="595959"/>
          <w:sz w:val="20"/>
          <w:szCs w:val="20"/>
          <w:rtl/>
        </w:rPr>
        <w:t xml:space="preserve">מקור: פיתוח של המחברים על פי </w:t>
      </w:r>
      <w:r>
        <w:rPr>
          <w:rFonts w:ascii="Times New Roman" w:cs="Times New Roman" w:eastAsia="Times New Roman" w:hAnsi="Times New Roman"/>
          <w:color w:val="595959"/>
          <w:sz w:val="20"/>
          <w:szCs w:val="20"/>
        </w:rPr>
        <w:t xml:space="preserve">‎Låstad et al. (2025)‎</w:t>
      </w:r>
      <w:r>
        <w:rPr>
          <w:rFonts w:ascii="David" w:cs="David" w:eastAsia="David" w:hAnsi="David"/>
          <w:color w:val="595959"/>
          <w:sz w:val="20"/>
          <w:szCs w:val="20"/>
          <w:rtl/>
        </w:rPr>
        <w:t xml:space="preserve"> ו-</w:t>
      </w:r>
      <w:r>
        <w:rPr>
          <w:rFonts w:ascii="Times New Roman" w:cs="Times New Roman" w:eastAsia="Times New Roman" w:hAnsi="Times New Roman"/>
          <w:color w:val="595959"/>
          <w:sz w:val="20"/>
          <w:szCs w:val="20"/>
        </w:rPr>
        <w:t xml:space="preserve">‎Chung et al. (2025)‎</w:t>
      </w:r>
      <w:r>
        <w:rPr>
          <w:rFonts w:ascii="David" w:cs="David" w:eastAsia="David" w:hAnsi="David"/>
          <w:color w:val="595959"/>
          <w:sz w:val="20"/>
          <w:szCs w:val="20"/>
          <w:rtl/>
        </w:rPr>
        <w:t xml:space="preserve">.</w:t>
      </w:r>
    </w:p>
    <w:p>
      <w:pPr>
        <w:pStyle w:val="Heading2"/>
        <w:bidi/>
        <w:spacing w:after="120" w:before="240" w:line="480"/>
        <w:jc w:val="right"/>
      </w:pPr>
      <w:r>
        <w:rPr>
          <w:rFonts w:ascii="David" w:cs="David" w:eastAsia="David" w:hAnsi="David"/>
          <w:b/>
          <w:bCs/>
          <w:color w:val="0E6E73"/>
          <w:sz w:val="28"/>
          <w:szCs w:val="28"/>
          <w:rtl/>
        </w:rPr>
        <w:t xml:space="preserve">6.2 קישור לכלים שנלמדו בקורס</w:t>
      </w:r>
    </w:p>
    <w:p>
      <w:pPr>
        <w:bidi/>
        <w:spacing w:after="120" w:before="0" w:line="480"/>
        <w:jc w:val="both"/>
      </w:pPr>
      <w:r>
        <w:rPr>
          <w:rFonts w:ascii="David" w:cs="David" w:eastAsia="David" w:hAnsi="David"/>
          <w:sz w:val="24"/>
          <w:szCs w:val="24"/>
          <w:rtl/>
        </w:rPr>
        <w:t xml:space="preserve">שלושת "סלי הכלים" שנלמדו בקורס, רשת אנשים, זהות מקצועית והתפתחות (דבדבני דקל, 2026א), הם התשובה הישירה לממצאי המטא-אנליזה. סל ההתפתחות, ובמרכזו תוכנית למידה שנתית, הוא בדיוק פיתוח המיומנויות הפרואקטיבי שחוסר הביטחון מקטין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סל הזהות המקצועית, המנותקת מתפקיד או מארגון, הוא רכיב מרכזי בחוסן הקריירה שממתן את חוסר הביטחון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סל רשת האנשים מספק תמיכה חברתית ומידע על הזדמנויות, ומקטין את הצורך להסתיר ידע.</w:t>
      </w:r>
    </w:p>
    <w:p>
      <w:pPr>
        <w:bidi/>
        <w:spacing w:after="120" w:before="0" w:line="480"/>
        <w:jc w:val="both"/>
      </w:pPr>
      <w:r>
        <w:rPr>
          <w:rFonts w:ascii="David" w:cs="David" w:eastAsia="David" w:hAnsi="David"/>
          <w:sz w:val="24"/>
          <w:szCs w:val="24"/>
          <w:rtl/>
        </w:rPr>
        <w:t xml:space="preserve">גם תיאוריות הקריירה הקלאסיות מתחברות לממצאים. לפי מודל עוגני הקריירה, מי שעוגן הביטחון והיציבות דומיננטי אצלו פגיע יותר לחוסר ביטחון, ועליו לשקול סביבות עבודה יציבות יותר או להשקיע במודע בבניית ביטחון פנימי שאינו תלוי במעסיק (</w:t>
      </w:r>
      <w:r>
        <w:rPr>
          <w:rFonts w:ascii="Times New Roman" w:cs="Times New Roman" w:eastAsia="Times New Roman" w:hAnsi="Times New Roman"/>
          <w:sz w:val="24"/>
          <w:szCs w:val="24"/>
        </w:rPr>
        <w:t xml:space="preserve">‎Schein, 1996‎</w:t>
      </w:r>
      <w:r>
        <w:rPr>
          <w:rFonts w:ascii="David" w:cs="David" w:eastAsia="David" w:hAnsi="David"/>
          <w:sz w:val="24"/>
          <w:szCs w:val="24"/>
          <w:rtl/>
        </w:rPr>
        <w:t xml:space="preserve">). לפי גישת מרחב החיים, רוב הסטודנטים בכיתה נמצאים בשלב החקירה או הביסוס, שבו חוסר ודאות הוא חלק טבעי מההתפתחות, והבנה זו מקלה על הרכיב הרגשי (</w:t>
      </w:r>
      <w:r>
        <w:rPr>
          <w:rFonts w:ascii="Times New Roman" w:cs="Times New Roman" w:eastAsia="Times New Roman" w:hAnsi="Times New Roman"/>
          <w:sz w:val="24"/>
          <w:szCs w:val="24"/>
        </w:rPr>
        <w:t xml:space="preserve">‎Super, 1980‎</w:t>
      </w:r>
      <w:r>
        <w:rPr>
          <w:rFonts w:ascii="David" w:cs="David" w:eastAsia="David" w:hAnsi="David"/>
          <w:sz w:val="24"/>
          <w:szCs w:val="24"/>
          <w:rtl/>
        </w:rPr>
        <w:t xml:space="preserve">). ממאמר החובה בקורס עולה שתמיכה במקום העבודה ובמשפחה משפרת זמינות פסיכולוגית ואנרגיה בעבודה, משאבים הדרושים כדי להמשיך ללמוד גם תחת איום (</w:t>
      </w:r>
      <w:r>
        <w:rPr>
          <w:rFonts w:ascii="Times New Roman" w:cs="Times New Roman" w:eastAsia="Times New Roman" w:hAnsi="Times New Roman"/>
          <w:sz w:val="24"/>
          <w:szCs w:val="24"/>
        </w:rPr>
        <w:t xml:space="preserve">‎Russo et al., 2016‎</w:t>
      </w:r>
      <w:r>
        <w:rPr>
          <w:rFonts w:ascii="David" w:cs="David" w:eastAsia="David" w:hAnsi="David"/>
          <w:sz w:val="24"/>
          <w:szCs w:val="24"/>
          <w:rtl/>
        </w:rPr>
        <w:t xml:space="preserve">). לבסוף, העיקרון של בניית תמונת מצב סדורה, שמירה על מזומן ומיקוד במה שבשליטה, שנלמד בהקשר של משבר הקורונה (דבדבני דקל, 2026ב), הוא הבסיס לשלבים 1 ו-3 במפת החוסן.</w:t>
      </w:r>
    </w:p>
    <w:p>
      <w:pPr>
        <w:pStyle w:val="Heading2"/>
        <w:bidi/>
        <w:spacing w:after="120" w:before="240" w:line="480"/>
        <w:jc w:val="right"/>
      </w:pPr>
      <w:r>
        <w:rPr>
          <w:rFonts w:ascii="David" w:cs="David" w:eastAsia="David" w:hAnsi="David"/>
          <w:b/>
          <w:bCs/>
          <w:color w:val="0E6E73"/>
          <w:sz w:val="28"/>
          <w:szCs w:val="28"/>
          <w:rtl/>
        </w:rPr>
        <w:t xml:space="preserve">6.3 השלכות למנהלים בכיתה</w:t>
      </w:r>
    </w:p>
    <w:p>
      <w:pPr>
        <w:bidi/>
        <w:spacing w:after="120" w:before="0" w:line="480"/>
        <w:jc w:val="both"/>
      </w:pPr>
      <w:r>
        <w:rPr>
          <w:rFonts w:ascii="David" w:cs="David" w:eastAsia="David" w:hAnsi="David"/>
          <w:sz w:val="24"/>
          <w:szCs w:val="24"/>
          <w:rtl/>
        </w:rPr>
        <w:t xml:space="preserve">חלק מחברי הכיתה מנהלים עובדים או ינהלו בעתיד. מהמאמרים נגזרות ארבע המלצות. הראשונה היא להפסיק להשתמש באיום כמנוע: הממצאים מראים שחוסר ביטחון מקטין פיתוח מיומנויות ומגביר הסתרת ידע, ההפך ממה שמנהל רוצה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השנייה היא תקשורת שקופה ומהירה בתקופות שינוי, כולל שינוי טכנולוגי, משום שעצם המודעות לבינה מלאכותית מייצרת חוסר ביטחון גם לפני שמשהו השתנה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השלישית היא השקעה גלויה ביכולת התעסוקה של העובדים, למשל הכשרה בכלי בינה מלאכותית, שמפצה על האיום ומחזירה את העובדים למסלול של התפתחות. הרביעית היא בניית ביטחון פסיכולוגי לשיתוף ידע, כי ידע שמוסתר בתקופת אי-ודאות הוא ידע שהארגון מאבד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6.4 האמצעים להמחשה ולהפעלה במצגת</w:t>
      </w:r>
    </w:p>
    <w:p>
      <w:pPr>
        <w:bidi/>
        <w:spacing w:after="120" w:before="0" w:line="480"/>
        <w:jc w:val="both"/>
      </w:pPr>
      <w:r>
        <w:rPr>
          <w:rFonts w:ascii="David" w:cs="David" w:eastAsia="David" w:hAnsi="David"/>
          <w:sz w:val="24"/>
          <w:szCs w:val="24"/>
          <w:rtl/>
        </w:rPr>
        <w:t xml:space="preserve">כנדרש בהנחיות המטלה, המצגת משלבת אמצעים ויזואליים ואינטראקטיביים. פירוט מלא ולוח זמנים מופיעים בנספח א. בתמצית: סקר פתיחה בזמן אמת, כתבת עיתון על אתגרי מנהלי ההייטק וההתייעלות באמצעות בינה מלאכותית ("הקשיים של מנהלי הייטק", 2026) לצד נתוני בנק ישראל (2025), תרשים "הלאה או למעלה" המציג את שמונה התוצאות של המטא-אנליזה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קטע וידאו מהרצאת </w:t>
      </w:r>
      <w:r>
        <w:rPr>
          <w:rFonts w:ascii="Times New Roman" w:cs="Times New Roman" w:eastAsia="Times New Roman" w:hAnsi="Times New Roman"/>
          <w:sz w:val="24"/>
          <w:szCs w:val="24"/>
        </w:rPr>
        <w:t xml:space="preserve">‎TED‎</w:t>
      </w:r>
      <w:r>
        <w:rPr>
          <w:rFonts w:ascii="David" w:cs="David" w:eastAsia="David" w:hAnsi="David"/>
          <w:sz w:val="24"/>
          <w:szCs w:val="24"/>
          <w:rtl/>
        </w:rPr>
        <w:t xml:space="preserve"> של חוקרת החוסן לוסי הון (</w:t>
      </w:r>
      <w:r>
        <w:rPr>
          <w:rFonts w:ascii="Times New Roman" w:cs="Times New Roman" w:eastAsia="Times New Roman" w:hAnsi="Times New Roman"/>
          <w:sz w:val="24"/>
          <w:szCs w:val="24"/>
        </w:rPr>
        <w:t xml:space="preserve">‎Hone, 2019‎</w:t>
      </w:r>
      <w:r>
        <w:rPr>
          <w:rFonts w:ascii="David" w:cs="David" w:eastAsia="David" w:hAnsi="David"/>
          <w:sz w:val="24"/>
          <w:szCs w:val="24"/>
          <w:rtl/>
        </w:rPr>
        <w:t xml:space="preserve">), טבלת מפת החוסן והפעלה קבוצתית קצרה עם כרטיסי תרחיש.</w:t>
      </w:r>
    </w:p>
    <w:p>
      <w:r>
        <w:br w:type="page"/>
      </w:r>
    </w:p>
    <w:p>
      <w:pPr>
        <w:pStyle w:val="Heading1"/>
        <w:bidi/>
        <w:spacing w:after="240" w:before="240" w:line="480"/>
        <w:jc w:val="right"/>
      </w:pPr>
      <w:r>
        <w:rPr>
          <w:rFonts w:ascii="David" w:cs="David" w:eastAsia="David" w:hAnsi="David"/>
          <w:b/>
          <w:bCs/>
          <w:color w:val="1F3864"/>
          <w:sz w:val="32"/>
          <w:szCs w:val="32"/>
          <w:rtl/>
        </w:rPr>
        <w:t xml:space="preserve">סיכום ומסקנות</w:t>
      </w:r>
    </w:p>
    <w:p>
      <w:pPr>
        <w:bidi/>
        <w:spacing w:after="120" w:before="0" w:line="480"/>
        <w:jc w:val="both"/>
      </w:pPr>
      <w:r>
        <w:rPr>
          <w:rFonts w:ascii="David" w:cs="David" w:eastAsia="David" w:hAnsi="David"/>
          <w:sz w:val="24"/>
          <w:szCs w:val="24"/>
          <w:rtl/>
        </w:rPr>
        <w:t xml:space="preserve">העבודה פתחה בשאלה מה עושה חוסר הביטחון התעסוקתי לקריירה עצמה, וכיצד מנהלים קריירה כאשר אי-הוודאות הופכת לתנאי קבוע. התשובה שעלתה מהמטא-אנליזה של לוסטד ואחרים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היא שחוסר ביטחון דוחף עובדים "הלאה", לחיפוש עבודה ולכוונות עזיבה, אך לא "למעלה": הוא מקטין שביעות רצון מהקריירה, יכולת תעסוקה נתפסת ופיתוח מיומנויות, ומגביר הסתרת ידע. המאמר המשלים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הראה שהמודעות לבינה מלאכותית היא מקור מרכזי לחוסר הביטחון של ימינו, ושחוסן קריירה ממתן אותו. המסגרת של שוס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אפשרה לפרש את הממצאים: בכל הנוגע לקריירה, מנגנון שימור המשרה גובר על ההתמודדות הפרואקטיבית.</w:t>
      </w:r>
    </w:p>
    <w:p>
      <w:pPr>
        <w:bidi/>
        <w:spacing w:after="120" w:before="0" w:line="480"/>
        <w:jc w:val="both"/>
      </w:pPr>
      <w:r>
        <w:rPr>
          <w:rFonts w:ascii="David" w:cs="David" w:eastAsia="David" w:hAnsi="David"/>
          <w:sz w:val="24"/>
          <w:szCs w:val="24"/>
          <w:rtl/>
        </w:rPr>
        <w:t xml:space="preserve">מכאן נגזרות המלצות יישומיות. לסטודנט: לקבוע יעד למידה שנתי ולהקצות לו זמן שבועי קבוע, לרכוש מיומנויות בינה מלאכותית בתחום העיסוק, לבנות קרן חירום של שלושה עד שישה חודשי הוצאות, לעדכן קורות חיים ופרופיל מקצועי אחת לחצי שנה, ולשתף ידע במקום להסתיר אותו. למנהל: להפסיק להשתמש באיום כמנוע, לתקשר שינויים טכנולוגיים במהירות ובשקיפות, להשקיע בגלוי ביכולת התעסוקה של העובדים, ולבנות ביטחון פסיכולוגי לשיתוף ידע. את האיום לא תמיד אפשר למנוע. את הכרית שמאפשרת להמשיך להתפתח תחת איום אפשר לבנות, וזו הבשורה של המאמרים לניהול קריירה.</w:t>
      </w:r>
    </w:p>
    <w:p>
      <w:r>
        <w:br w:type="page"/>
      </w:r>
    </w:p>
    <w:p>
      <w:pPr>
        <w:pStyle w:val="Heading1"/>
        <w:bidi/>
        <w:spacing w:after="240" w:before="240" w:line="480"/>
        <w:jc w:val="right"/>
      </w:pPr>
      <w:r>
        <w:rPr>
          <w:rFonts w:ascii="David" w:cs="David" w:eastAsia="David" w:hAnsi="David"/>
          <w:b/>
          <w:bCs/>
          <w:color w:val="1F3864"/>
          <w:sz w:val="32"/>
          <w:szCs w:val="32"/>
          <w:rtl/>
        </w:rPr>
        <w:t xml:space="preserve">נספח א: תכנון המצגת והאמצעים להמחשה</w:t>
      </w:r>
    </w:p>
    <w:p>
      <w:pPr>
        <w:bidi/>
        <w:spacing w:after="120" w:before="0" w:line="360"/>
        <w:jc w:val="both"/>
      </w:pPr>
      <w:r>
        <w:rPr>
          <w:rFonts w:ascii="David" w:cs="David" w:eastAsia="David" w:hAnsi="David"/>
          <w:sz w:val="24"/>
          <w:szCs w:val="24"/>
          <w:rtl/>
        </w:rPr>
        <w:t xml:space="preserve">משך ההצגה עד עשר דקות בזוג או עד רבע שעה בשלשה. התכנון להלן מבוסס על עשר דקות. בהגשה בשלשה מתווספות כארבע דקות להצגת המאמר המשלים ולהרחבת הדיון.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זמן</w:t>
            </w:r>
          </w:p>
        </w:tc>
        <w:tc>
          <w:tcPr>
            <w:tcW w:type="dxa" w:w="4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תוכן</w:t>
            </w:r>
          </w:p>
        </w:tc>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אמצעי המחשה</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0:00-1:00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שער ופתיחה: "מי כאן בטוח שיהיה באותו תפקיד בעוד שנתיים?"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סקר </w:t>
            </w:r>
            <w:r>
              <w:rPr>
                <w:rFonts w:ascii="Times New Roman" w:cs="Times New Roman" w:eastAsia="Times New Roman" w:hAnsi="Times New Roman"/>
                <w:sz w:val="22"/>
                <w:szCs w:val="22"/>
              </w:rPr>
              <w:t xml:space="preserve">‎Mentimeter‎</w:t>
            </w:r>
            <w:r>
              <w:rPr>
                <w:rFonts w:ascii="David" w:cs="David" w:eastAsia="David" w:hAnsi="David"/>
                <w:sz w:val="22"/>
                <w:szCs w:val="22"/>
                <w:rtl/>
              </w:rPr>
              <w:t xml:space="preserve"> בזמן אמת, תוצאות על המסך</w:t>
            </w:r>
          </w:p>
        </w:tc>
      </w:tr>
      <w:tr>
        <w:tc>
          <w:tcPr>
            <w:tcW w:type="dxa" w:w="1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1:00-2:30</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למה עכשיו: הבינה המלאכותית, הפיטורים בהייטק, המילואים</w:t>
            </w:r>
          </w:p>
        </w:tc>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כתבת </w:t>
            </w:r>
            <w:r>
              <w:rPr>
                <w:rFonts w:ascii="Times New Roman" w:cs="Times New Roman" w:eastAsia="Times New Roman" w:hAnsi="Times New Roman"/>
                <w:sz w:val="22"/>
                <w:szCs w:val="22"/>
              </w:rPr>
              <w:t xml:space="preserve">‎TheMarker‎</w:t>
            </w:r>
            <w:r>
              <w:rPr>
                <w:rFonts w:ascii="David" w:cs="David" w:eastAsia="David" w:hAnsi="David"/>
                <w:sz w:val="22"/>
                <w:szCs w:val="22"/>
                <w:rtl/>
              </w:rPr>
              <w:t xml:space="preserve"> ("הקשיים של מנהלי הייטק", 2026), נתוני בנק ישראל (2025), כרטיסי מספרים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2:30-5:00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מי, איפה, מה. השאלה "הלאה או למעלה", השיטה, שמונה התוצאות, הממתנים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תרשים "הלאה או למעלה", כרטיסי 237 מחקרים</w:t>
            </w:r>
          </w:p>
        </w:tc>
      </w:tr>
      <w:tr>
        <w:tc>
          <w:tcPr>
            <w:tcW w:type="dxa" w:w="1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5:00-6:00</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המשלים ותובנות: בינה מלאכותית, חוסן קריירה, מעגל הקסמים, דעה אישית</w:t>
            </w:r>
          </w:p>
        </w:tc>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מעגל הקסמים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6:00-7:30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סרטון: קטע של 90 שניות מהרצאת </w:t>
            </w:r>
            <w:r>
              <w:rPr>
                <w:rFonts w:ascii="Times New Roman" w:cs="Times New Roman" w:eastAsia="Times New Roman" w:hAnsi="Times New Roman"/>
                <w:sz w:val="22"/>
                <w:szCs w:val="22"/>
              </w:rPr>
              <w:t xml:space="preserve">‎TED‎</w:t>
            </w:r>
            <w:r>
              <w:rPr>
                <w:rFonts w:ascii="David" w:cs="David" w:eastAsia="David" w:hAnsi="David"/>
                <w:sz w:val="22"/>
                <w:szCs w:val="22"/>
                <w:rtl/>
              </w:rPr>
              <w:t xml:space="preserve"> של לוסי הון (</w:t>
            </w:r>
            <w:r>
              <w:rPr>
                <w:rFonts w:ascii="Times New Roman" w:cs="Times New Roman" w:eastAsia="Times New Roman" w:hAnsi="Times New Roman"/>
                <w:sz w:val="22"/>
                <w:szCs w:val="22"/>
              </w:rPr>
              <w:t xml:space="preserve">‎Hone, 2019‎</w:t>
            </w:r>
            <w:r>
              <w:rPr>
                <w:rFonts w:ascii="David" w:cs="David" w:eastAsia="David" w:hAnsi="David"/>
                <w:sz w:val="22"/>
                <w:szCs w:val="22"/>
                <w:rtl/>
              </w:rPr>
              <w:t xml:space="preserve">)</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וידאו</w:t>
            </w:r>
          </w:p>
        </w:tc>
      </w:tr>
      <w:tr>
        <w:tc>
          <w:tcPr>
            <w:tcW w:type="dxa" w:w="1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7:30-9:00</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הפעלה: כרטיסי תרחיש בזוגות ומילוי מהיר של מפת החוסן</w:t>
            </w:r>
          </w:p>
        </w:tc>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כרטיסים מודפסים או שקופית תרחיש, טבלת מפת החוסן</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9:00-10:00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סיכום, המסר לכיתה ושאלות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סיכום</w:t>
            </w:r>
          </w:p>
        </w:tc>
      </w:tr>
    </w:tbl>
    <w:p>
      <w:pPr>
        <w:spacing w:after="120"/>
      </w:pPr>
    </w:p>
    <w:p>
      <w:pPr>
        <w:pStyle w:val="Heading2"/>
        <w:bidi/>
        <w:spacing w:after="120" w:before="240" w:line="480"/>
        <w:jc w:val="right"/>
      </w:pPr>
      <w:r>
        <w:rPr>
          <w:rFonts w:ascii="David" w:cs="David" w:eastAsia="David" w:hAnsi="David"/>
          <w:b/>
          <w:bCs/>
          <w:color w:val="0E6E73"/>
          <w:sz w:val="28"/>
          <w:szCs w:val="28"/>
          <w:rtl/>
        </w:rPr>
        <w:t xml:space="preserve">כרטיסי תרחיש להפעלה</w:t>
      </w:r>
    </w:p>
    <w:p>
      <w:pPr>
        <w:pStyle w:val="ListParagraph"/>
        <w:numPr>
          <w:ilvl w:val="0"/>
          <w:numId w:val="2"/>
        </w:numPr>
        <w:bidi/>
        <w:spacing w:after="60" w:line="480"/>
        <w:jc w:val="both"/>
      </w:pPr>
      <w:r>
        <w:rPr>
          <w:rFonts w:ascii="David" w:cs="David" w:eastAsia="David" w:hAnsi="David"/>
          <w:sz w:val="24"/>
          <w:szCs w:val="24"/>
          <w:rtl/>
        </w:rPr>
        <w:t xml:space="preserve">תרחיש א: עובדי מטה בחברת הייטק. הבוקר נשלח מייל מהמנכ"ל על "התייעלות של 15% ברבעון הקרוב", ללא פרטים נוספים. מה תעשו בשבוע הקרוב?</w:t>
      </w:r>
    </w:p>
    <w:p>
      <w:pPr>
        <w:pStyle w:val="ListParagraph"/>
        <w:numPr>
          <w:ilvl w:val="0"/>
          <w:numId w:val="2"/>
        </w:numPr>
        <w:bidi/>
        <w:spacing w:after="60" w:line="480"/>
        <w:jc w:val="both"/>
      </w:pPr>
      <w:r>
        <w:rPr>
          <w:rFonts w:ascii="David" w:cs="David" w:eastAsia="David" w:hAnsi="David"/>
          <w:sz w:val="24"/>
          <w:szCs w:val="24"/>
          <w:rtl/>
        </w:rPr>
        <w:t xml:space="preserve">תרחיש ב: עובדים בשירות לקוחות. הארגון הודיע שמערכת בינה מלאכותית תטפל מעתה ב-60% מהפניות. התפקיד נשאר, אך תוכנו ישתנה. איך תגיבו?</w:t>
      </w:r>
    </w:p>
    <w:p>
      <w:pPr>
        <w:pStyle w:val="ListParagraph"/>
        <w:numPr>
          <w:ilvl w:val="0"/>
          <w:numId w:val="2"/>
        </w:numPr>
        <w:bidi/>
        <w:spacing w:after="60" w:line="480"/>
        <w:jc w:val="both"/>
      </w:pPr>
      <w:r>
        <w:rPr>
          <w:rFonts w:ascii="David" w:cs="David" w:eastAsia="David" w:hAnsi="David"/>
          <w:sz w:val="24"/>
          <w:szCs w:val="24"/>
          <w:rtl/>
        </w:rPr>
        <w:t xml:space="preserve">תרחיש ג: עצמאיים. הלקוח הגדול ביותר, 40% מההכנסה, הודיע על הקפאת פרויקטים "עד שהמצב יתבהר". מה הצעד הראשון?</w:t>
      </w:r>
    </w:p>
    <w:p>
      <w:pPr>
        <w:bidi/>
        <w:spacing w:after="120" w:before="0" w:line="360"/>
        <w:jc w:val="both"/>
      </w:pPr>
      <w:r>
        <w:rPr>
          <w:rFonts w:ascii="David" w:cs="David" w:eastAsia="David" w:hAnsi="David"/>
          <w:sz w:val="24"/>
          <w:szCs w:val="24"/>
          <w:rtl/>
        </w:rPr>
        <w:t xml:space="preserve">בכל תרחיש הזוגות עונים על שלוש שאלות מתוך מפת החוסן: מה האיום בפועל, כמותי או איכותני, ומה בשליטתי? האם התגובה הראשונה שלי היא בריחה, הסתרה או התפתחות? איזו פעולה אחת של פיתוח מיומנויות אעשה השבוע?</w:t>
      </w:r>
    </w:p>
    <w:p>
      <w:r>
        <w:br w:type="page"/>
      </w:r>
    </w:p>
    <w:p>
      <w:pPr>
        <w:pStyle w:val="Heading1"/>
        <w:bidi/>
        <w:spacing w:after="240" w:before="240" w:line="480"/>
        <w:jc w:val="right"/>
      </w:pPr>
      <w:r>
        <w:rPr>
          <w:rFonts w:ascii="David" w:cs="David" w:eastAsia="David" w:hAnsi="David"/>
          <w:b/>
          <w:bCs/>
          <w:color w:val="1F3864"/>
          <w:sz w:val="32"/>
          <w:szCs w:val="32"/>
          <w:rtl/>
        </w:rPr>
        <w:t xml:space="preserve">נספח ב: שאלון קצר להערכה עצמית</w:t>
      </w:r>
    </w:p>
    <w:p>
      <w:pPr>
        <w:bidi/>
        <w:spacing w:after="120" w:before="0" w:line="360"/>
        <w:jc w:val="both"/>
      </w:pPr>
      <w:r>
        <w:rPr>
          <w:rFonts w:ascii="David" w:cs="David" w:eastAsia="David" w:hAnsi="David"/>
          <w:sz w:val="24"/>
          <w:szCs w:val="24"/>
          <w:rtl/>
        </w:rPr>
        <w:t xml:space="preserve">השאלון נוסח על ידי המחברים בהשראת פריטי מדידה נפוצים בספרות על חוסר ביטחון תעסוקתי (</w:t>
      </w:r>
      <w:r>
        <w:rPr>
          <w:rFonts w:ascii="Times New Roman" w:cs="Times New Roman" w:eastAsia="Times New Roman" w:hAnsi="Times New Roman"/>
          <w:sz w:val="24"/>
          <w:szCs w:val="24"/>
        </w:rPr>
        <w:t xml:space="preserve">‎Ashford et al., 1989; Hellgren et al., 1999‎</w:t>
      </w:r>
      <w:r>
        <w:rPr>
          <w:rFonts w:ascii="David" w:cs="David" w:eastAsia="David" w:hAnsi="David"/>
          <w:sz w:val="24"/>
          <w:szCs w:val="24"/>
          <w:rtl/>
        </w:rPr>
        <w:t xml:space="preserve">) ועל תוצאות הקריירה שנבחנו במטא-אנליזה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הוא אינו כלי מדידה מתוקף ומטרתו לעורר חשיבה, לא לאבחן. יש לדרג כל היגד בסולם 1 (כלל לא מסכים) עד 5 (מסכים מאוד).</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2800"/>
      </w:tblGrid>
      <w:tr>
        <w:trPr>
          <w:tblHeader/>
        </w:trPr>
        <w:tc>
          <w:tcPr>
            <w:tcW w:type="dxa" w:w="8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w:t>
            </w:r>
          </w:p>
        </w:tc>
        <w:tc>
          <w:tcPr>
            <w:tcW w:type="dxa" w:w="5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היגד</w:t>
            </w:r>
          </w:p>
        </w:tc>
        <w:tc>
          <w:tcPr>
            <w:tcW w:type="dxa" w:w="28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ממד</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אני חושש שאאבד את מקום עבודתי בשנה הקרובה.</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חוסר ביטחון כמותי</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אני חושש שתפקידי ישתנה לרעה (שכר, אחריות, עניין) גם אם אשמור על המשרה.</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חוסר ביטחון איכותני</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3</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המחשבה על אובדן העבודה מעסיקה אותי ומדאיגה אותי.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הממד הרגשי</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4</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בשנה האחרונה למדתי מיומנות חדשה שמבוקשת בתחום שלי.</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פיתוח מיומנויות (היגד הפוך)</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אני מאמין שאמצא עבודה דומה בקלות יחסית.</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יכולת תעסוקה נתפסת (היגד הפוך)</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כשאני לא בטוח במקומי בעבודה, אני נוטה לשמור ידע לעצמי.</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הסתרת ידע</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גם אם התפקיד שלי ישתנה, אני יודע להסתגל ולמצוא את מקומי.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חוסן קריירה (היגד הפוך)</w:t>
            </w:r>
          </w:p>
        </w:tc>
      </w:tr>
    </w:tbl>
    <w:p>
      <w:pPr>
        <w:spacing w:after="120"/>
      </w:pPr>
    </w:p>
    <w:p>
      <w:pPr>
        <w:bidi/>
        <w:spacing w:after="120" w:before="0" w:line="360"/>
        <w:jc w:val="both"/>
      </w:pPr>
      <w:r>
        <w:rPr>
          <w:rFonts w:ascii="David" w:cs="David" w:eastAsia="David" w:hAnsi="David"/>
          <w:sz w:val="24"/>
          <w:szCs w:val="24"/>
          <w:rtl/>
        </w:rPr>
        <w:t xml:space="preserve">פרשנות: ציון גבוה בהיגדים 1 עד 3 מעיד על חוסר ביטחון גבוה. ציון נמוך בהיגדים 4, 5 ו-7 וציון גבוה בהיגד 6 מעידים שהמעגל שהמטא-אנליזה מתארת כבר פועל: האיום מקטין השקעה בעצמי ומגביר הסתרה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זו ההזמנה להתחיל לעבוד על מפת החוסן.</w:t>
      </w:r>
    </w:p>
    <w:p>
      <w:r>
        <w:br w:type="page"/>
      </w:r>
    </w:p>
    <w:p>
      <w:pPr>
        <w:pStyle w:val="Heading1"/>
        <w:bidi/>
        <w:spacing w:after="240" w:before="240" w:line="480"/>
        <w:jc w:val="right"/>
      </w:pPr>
      <w:r>
        <w:rPr>
          <w:rFonts w:ascii="David" w:cs="David" w:eastAsia="David" w:hAnsi="David"/>
          <w:b/>
          <w:bCs/>
          <w:color w:val="1F3864"/>
          <w:sz w:val="32"/>
          <w:szCs w:val="32"/>
          <w:rtl/>
        </w:rPr>
        <w:t xml:space="preserve">רשימת מקורות</w:t>
      </w:r>
    </w:p>
    <w:p>
      <w:pPr>
        <w:bidi/>
        <w:spacing w:after="0" w:line="480"/>
        <w:ind w:left="709" w:hanging="709"/>
        <w:jc w:val="right"/>
      </w:pPr>
      <w:r>
        <w:rPr>
          <w:rFonts w:ascii="David" w:cs="David" w:eastAsia="David" w:hAnsi="David"/>
          <w:sz w:val="24"/>
          <w:szCs w:val="24"/>
          <w:rtl/>
        </w:rPr>
        <w:t xml:space="preserve">בנק ישראל. (2025, 11 במרץ). ההשפעה הצפויה של בינה מלאכותית יוצרת על העובדים: השלכות על המדיניות בשוק העבודה [תיבה מתוך דוח בנק ישראל לשנת 2024]. </w:t>
      </w:r>
      <w:r>
        <w:rPr>
          <w:rFonts w:ascii="Times New Roman" w:cs="Times New Roman" w:eastAsia="Times New Roman" w:hAnsi="Times New Roman"/>
          <w:sz w:val="24"/>
          <w:szCs w:val="24"/>
        </w:rPr>
        <w:t xml:space="preserve">‎https://www.boi.org.il/publications/pressreleases/11-3-25/‎</w:t>
      </w:r>
    </w:p>
    <w:p>
      <w:pPr>
        <w:bidi/>
        <w:spacing w:after="0" w:line="480"/>
        <w:ind w:left="709" w:hanging="709"/>
        <w:jc w:val="right"/>
      </w:pPr>
      <w:r>
        <w:rPr>
          <w:rFonts w:ascii="David" w:cs="David" w:eastAsia="David" w:hAnsi="David"/>
          <w:sz w:val="24"/>
          <w:szCs w:val="24"/>
          <w:rtl/>
        </w:rPr>
        <w:t xml:space="preserve">דבדבני דקל, מ' (2026א). מחזון ורעיון למציאות ממשית [מצגת הרצאה]. ניהול קריירה בארגונים, הקריה האקדמית אונו.</w:t>
      </w:r>
    </w:p>
    <w:p>
      <w:pPr>
        <w:bidi/>
        <w:spacing w:after="0" w:line="480"/>
        <w:ind w:left="709" w:hanging="709"/>
        <w:jc w:val="right"/>
      </w:pPr>
      <w:r>
        <w:rPr>
          <w:rFonts w:ascii="David" w:cs="David" w:eastAsia="David" w:hAnsi="David"/>
          <w:sz w:val="24"/>
          <w:szCs w:val="24"/>
          <w:rtl/>
        </w:rPr>
        <w:t xml:space="preserve">דבדבני דקל, מ' (2026ב). עסקים בצל הקורונה: ממשבר להזדמנות, איך עושים את זה? [מצגת הרצאה]. ניהול קריירה בארגונים, הקריה האקדמית אונו.</w:t>
      </w:r>
    </w:p>
    <w:p>
      <w:pPr>
        <w:bidi/>
        <w:spacing w:after="0" w:line="480"/>
        <w:ind w:left="709" w:hanging="709"/>
        <w:jc w:val="right"/>
      </w:pPr>
      <w:r>
        <w:rPr>
          <w:rFonts w:ascii="David" w:cs="David" w:eastAsia="David" w:hAnsi="David"/>
          <w:sz w:val="24"/>
          <w:szCs w:val="24"/>
          <w:rtl/>
        </w:rPr>
        <w:t xml:space="preserve">הקשיים של מנהלי הייטק ב-2026: גיוס עובדים מתאימים והתייעלות </w:t>
      </w:r>
      <w:r>
        <w:rPr>
          <w:rFonts w:ascii="Times New Roman" w:cs="Times New Roman" w:eastAsia="Times New Roman" w:hAnsi="Times New Roman"/>
          <w:sz w:val="24"/>
          <w:szCs w:val="24"/>
        </w:rPr>
        <w:t xml:space="preserve">‎AI‎</w:t>
      </w:r>
      <w:r>
        <w:rPr>
          <w:rFonts w:ascii="David" w:cs="David" w:eastAsia="David" w:hAnsi="David"/>
          <w:sz w:val="24"/>
          <w:szCs w:val="24"/>
          <w:rtl/>
        </w:rPr>
        <w:t xml:space="preserve">. (2026, 21 ביוני). </w:t>
      </w:r>
      <w:r>
        <w:rPr>
          <w:rFonts w:ascii="Times New Roman" w:cs="Times New Roman" w:eastAsia="Times New Roman" w:hAnsi="Times New Roman"/>
          <w:sz w:val="24"/>
          <w:szCs w:val="24"/>
        </w:rPr>
        <w:t xml:space="preserve">‎TheMarker‎</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‎https://www.themarker.com/career/2026-06-21/ty-article/.premium/0000019e-e3b1-d2b1-a5bf-fbb76dff0000‎</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Ashford, S. J., Lee, C., &amp; Bobko, P. (1989). Content, causes, and consequences of job insecurity: A theory-based measure and substantive test. </w:t>
      </w:r>
      <w:r>
        <w:rPr>
          <w:rFonts w:ascii="Times New Roman" w:cs="Times New Roman" w:eastAsia="Times New Roman" w:hAnsi="Times New Roman"/>
          <w:i/>
          <w:iCs/>
          <w:sz w:val="24"/>
          <w:szCs w:val="24"/>
        </w:rPr>
        <w:t xml:space="preserve">Academy of Management Journal, 32</w:t>
      </w:r>
      <w:r>
        <w:rPr>
          <w:rFonts w:ascii="Times New Roman" w:cs="Times New Roman" w:eastAsia="Times New Roman" w:hAnsi="Times New Roman"/>
          <w:i w:val="false"/>
          <w:iCs w:val="false"/>
          <w:sz w:val="24"/>
          <w:szCs w:val="24"/>
        </w:rPr>
        <w:t xml:space="preserve">(4), 803-829. https://doi.org/10.2307/256569</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Chung, Y. W., Im, S., Kim, J. E., &amp; Yun, J. K. (2025). Artificial intelligence awareness, career resilience, job insecurity and behavioural outcomes. </w:t>
      </w:r>
      <w:r>
        <w:rPr>
          <w:rFonts w:ascii="Times New Roman" w:cs="Times New Roman" w:eastAsia="Times New Roman" w:hAnsi="Times New Roman"/>
          <w:i/>
          <w:iCs/>
          <w:sz w:val="24"/>
          <w:szCs w:val="24"/>
        </w:rPr>
        <w:t xml:space="preserve">Australian Journal of Psychology, 77</w:t>
      </w:r>
      <w:r>
        <w:rPr>
          <w:rFonts w:ascii="Times New Roman" w:cs="Times New Roman" w:eastAsia="Times New Roman" w:hAnsi="Times New Roman"/>
          <w:i w:val="false"/>
          <w:iCs w:val="false"/>
          <w:sz w:val="24"/>
          <w:szCs w:val="24"/>
        </w:rPr>
        <w:t xml:space="preserve">(1), Article 2559910. https://doi.org/10.1080/00049530.2025.2559910</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Greenhalgh, L., &amp; Rosenblatt, Z. (1984). Job insecurity: Toward conceptual clarity. </w:t>
      </w:r>
      <w:r>
        <w:rPr>
          <w:rFonts w:ascii="Times New Roman" w:cs="Times New Roman" w:eastAsia="Times New Roman" w:hAnsi="Times New Roman"/>
          <w:i/>
          <w:iCs/>
          <w:sz w:val="24"/>
          <w:szCs w:val="24"/>
        </w:rPr>
        <w:t xml:space="preserve">Academy of Management Review, 9</w:t>
      </w:r>
      <w:r>
        <w:rPr>
          <w:rFonts w:ascii="Times New Roman" w:cs="Times New Roman" w:eastAsia="Times New Roman" w:hAnsi="Times New Roman"/>
          <w:i w:val="false"/>
          <w:iCs w:val="false"/>
          <w:sz w:val="24"/>
          <w:szCs w:val="24"/>
        </w:rPr>
        <w:t xml:space="preserve">(3), 438-448. https://doi.org/10.5465/amr.1984.4279673</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Greenhaus, J. H., Callanan, G. A., &amp; Godshalk, V. M. (2018). </w:t>
      </w:r>
      <w:r>
        <w:rPr>
          <w:rFonts w:ascii="Times New Roman" w:cs="Times New Roman" w:eastAsia="Times New Roman" w:hAnsi="Times New Roman"/>
          <w:i/>
          <w:iCs/>
          <w:sz w:val="24"/>
          <w:szCs w:val="24"/>
        </w:rPr>
        <w:t xml:space="preserve">Career management for life</w:t>
      </w:r>
      <w:r>
        <w:rPr>
          <w:rFonts w:ascii="Times New Roman" w:cs="Times New Roman" w:eastAsia="Times New Roman" w:hAnsi="Times New Roman"/>
          <w:i w:val="false"/>
          <w:iCs w:val="false"/>
          <w:sz w:val="24"/>
          <w:szCs w:val="24"/>
        </w:rPr>
        <w:t xml:space="preserve"> (5th ed.). Routledge.</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Hellgren, J., Sverke, M., &amp; Isaksson, K. (1999). A two-dimensional approach to job insecurity: Consequences for employee attitudes and well-being. </w:t>
      </w:r>
      <w:r>
        <w:rPr>
          <w:rFonts w:ascii="Times New Roman" w:cs="Times New Roman" w:eastAsia="Times New Roman" w:hAnsi="Times New Roman"/>
          <w:i/>
          <w:iCs/>
          <w:sz w:val="24"/>
          <w:szCs w:val="24"/>
        </w:rPr>
        <w:t xml:space="preserve">European Journal of Work and Organizational Psychology, 8</w:t>
      </w:r>
      <w:r>
        <w:rPr>
          <w:rFonts w:ascii="Times New Roman" w:cs="Times New Roman" w:eastAsia="Times New Roman" w:hAnsi="Times New Roman"/>
          <w:i w:val="false"/>
          <w:iCs w:val="false"/>
          <w:sz w:val="24"/>
          <w:szCs w:val="24"/>
        </w:rPr>
        <w:t xml:space="preserve">(2), 179-195. https://doi.org/10.1080/135943299398311</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Hobfoll, S. E. (1989). Conservation of resources: A new attempt at conceptualizing stress. </w:t>
      </w:r>
      <w:r>
        <w:rPr>
          <w:rFonts w:ascii="Times New Roman" w:cs="Times New Roman" w:eastAsia="Times New Roman" w:hAnsi="Times New Roman"/>
          <w:i/>
          <w:iCs/>
          <w:sz w:val="24"/>
          <w:szCs w:val="24"/>
        </w:rPr>
        <w:t xml:space="preserve">American Psychologist, 44</w:t>
      </w:r>
      <w:r>
        <w:rPr>
          <w:rFonts w:ascii="Times New Roman" w:cs="Times New Roman" w:eastAsia="Times New Roman" w:hAnsi="Times New Roman"/>
          <w:i w:val="false"/>
          <w:iCs w:val="false"/>
          <w:sz w:val="24"/>
          <w:szCs w:val="24"/>
        </w:rPr>
        <w:t xml:space="preserve">(3), 513-524. https://doi.org/10.1037/0003-066X.44.3.513</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Hone, L. (2019). </w:t>
      </w:r>
      <w:r>
        <w:rPr>
          <w:rFonts w:ascii="Times New Roman" w:cs="Times New Roman" w:eastAsia="Times New Roman" w:hAnsi="Times New Roman"/>
          <w:i/>
          <w:iCs/>
          <w:sz w:val="24"/>
          <w:szCs w:val="24"/>
        </w:rPr>
        <w:t xml:space="preserve">3 secrets of resilient people</w:t>
      </w:r>
      <w:r>
        <w:rPr>
          <w:rFonts w:ascii="Times New Roman" w:cs="Times New Roman" w:eastAsia="Times New Roman" w:hAnsi="Times New Roman"/>
          <w:i w:val="false"/>
          <w:iCs w:val="false"/>
          <w:sz w:val="24"/>
          <w:szCs w:val="24"/>
        </w:rPr>
        <w:t xml:space="preserve"> [Video]. TED Conferences. https://www.ted.com/talks/lucy_hone_the_three_secrets_of_resilient_people</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Jiang, L., &amp; Lavaysse, L. M. (2018). Cognitive and affective job insecurity: A meta-analysis and a primary study. </w:t>
      </w:r>
      <w:r>
        <w:rPr>
          <w:rFonts w:ascii="Times New Roman" w:cs="Times New Roman" w:eastAsia="Times New Roman" w:hAnsi="Times New Roman"/>
          <w:i/>
          <w:iCs/>
          <w:sz w:val="24"/>
          <w:szCs w:val="24"/>
        </w:rPr>
        <w:t xml:space="preserve">Journal of Management, 44</w:t>
      </w:r>
      <w:r>
        <w:rPr>
          <w:rFonts w:ascii="Times New Roman" w:cs="Times New Roman" w:eastAsia="Times New Roman" w:hAnsi="Times New Roman"/>
          <w:i w:val="false"/>
          <w:iCs w:val="false"/>
          <w:sz w:val="24"/>
          <w:szCs w:val="24"/>
        </w:rPr>
        <w:t xml:space="preserve">(6), 2307-2342. https://doi.org/10.1177/0149206318773853</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Låstad, L., Pienaar, J., Näswall, K., Richter, A., Hellgren, J., &amp; Sverke, M. (2025). Moving on up now? A meta-analysis of the associations between job insecurity and career-related outcomes. </w:t>
      </w:r>
      <w:r>
        <w:rPr>
          <w:rFonts w:ascii="Times New Roman" w:cs="Times New Roman" w:eastAsia="Times New Roman" w:hAnsi="Times New Roman"/>
          <w:i/>
          <w:iCs/>
          <w:sz w:val="24"/>
          <w:szCs w:val="24"/>
        </w:rPr>
        <w:t xml:space="preserve">Scandinavian Journal of Work and Organizational Psychology, 10</w:t>
      </w:r>
      <w:r>
        <w:rPr>
          <w:rFonts w:ascii="Times New Roman" w:cs="Times New Roman" w:eastAsia="Times New Roman" w:hAnsi="Times New Roman"/>
          <w:i w:val="false"/>
          <w:iCs w:val="false"/>
          <w:sz w:val="24"/>
          <w:szCs w:val="24"/>
        </w:rPr>
        <w:t xml:space="preserve">(1), Article 2. https://doi.org/10.16993/sjwop.275</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Lazarus, R. S., &amp; Folkman, S. (1984). </w:t>
      </w:r>
      <w:r>
        <w:rPr>
          <w:rFonts w:ascii="Times New Roman" w:cs="Times New Roman" w:eastAsia="Times New Roman" w:hAnsi="Times New Roman"/>
          <w:i/>
          <w:iCs/>
          <w:sz w:val="24"/>
          <w:szCs w:val="24"/>
        </w:rPr>
        <w:t xml:space="preserve">Stress, appraisal, and coping</w:t>
      </w:r>
      <w:r>
        <w:rPr>
          <w:rFonts w:ascii="Times New Roman" w:cs="Times New Roman" w:eastAsia="Times New Roman" w:hAnsi="Times New Roman"/>
          <w:i w:val="false"/>
          <w:iCs w:val="false"/>
          <w:sz w:val="24"/>
          <w:szCs w:val="24"/>
        </w:rPr>
        <w:t xml:space="preserve">. Springer.</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Russo, M., Shteigman, A., &amp; Carmeli, A. (2016). Workplace and family support and work-life balance: Implications for individual psychological availability and energy at work. </w:t>
      </w:r>
      <w:r>
        <w:rPr>
          <w:rFonts w:ascii="Times New Roman" w:cs="Times New Roman" w:eastAsia="Times New Roman" w:hAnsi="Times New Roman"/>
          <w:i/>
          <w:iCs/>
          <w:sz w:val="24"/>
          <w:szCs w:val="24"/>
        </w:rPr>
        <w:t xml:space="preserve">The Journal of Positive Psychology, 11</w:t>
      </w:r>
      <w:r>
        <w:rPr>
          <w:rFonts w:ascii="Times New Roman" w:cs="Times New Roman" w:eastAsia="Times New Roman" w:hAnsi="Times New Roman"/>
          <w:i w:val="false"/>
          <w:iCs w:val="false"/>
          <w:sz w:val="24"/>
          <w:szCs w:val="24"/>
        </w:rPr>
        <w:t xml:space="preserve">(2), 173-188. https://doi.org/10.1080/17439760.2015.1025424</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Schein, E. H. (1996). Career anchors revisited: Implications for career development in the 21st century. </w:t>
      </w:r>
      <w:r>
        <w:rPr>
          <w:rFonts w:ascii="Times New Roman" w:cs="Times New Roman" w:eastAsia="Times New Roman" w:hAnsi="Times New Roman"/>
          <w:i/>
          <w:iCs/>
          <w:sz w:val="24"/>
          <w:szCs w:val="24"/>
        </w:rPr>
        <w:t xml:space="preserve">Academy of Management Executive, 10</w:t>
      </w:r>
      <w:r>
        <w:rPr>
          <w:rFonts w:ascii="Times New Roman" w:cs="Times New Roman" w:eastAsia="Times New Roman" w:hAnsi="Times New Roman"/>
          <w:i w:val="false"/>
          <w:iCs w:val="false"/>
          <w:sz w:val="24"/>
          <w:szCs w:val="24"/>
        </w:rPr>
        <w:t xml:space="preserve">(4), 80-88. https://doi.org/10.5465/ame.1996.3145321</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Shoss, M. K. (2017). Job insecurity: An integrative review and agenda for future research. </w:t>
      </w:r>
      <w:r>
        <w:rPr>
          <w:rFonts w:ascii="Times New Roman" w:cs="Times New Roman" w:eastAsia="Times New Roman" w:hAnsi="Times New Roman"/>
          <w:i/>
          <w:iCs/>
          <w:sz w:val="24"/>
          <w:szCs w:val="24"/>
        </w:rPr>
        <w:t xml:space="preserve">Journal of Management, 43</w:t>
      </w:r>
      <w:r>
        <w:rPr>
          <w:rFonts w:ascii="Times New Roman" w:cs="Times New Roman" w:eastAsia="Times New Roman" w:hAnsi="Times New Roman"/>
          <w:i w:val="false"/>
          <w:iCs w:val="false"/>
          <w:sz w:val="24"/>
          <w:szCs w:val="24"/>
        </w:rPr>
        <w:t xml:space="preserve">(6), 1911-1939. https://doi.org/10.1177/0149206317691574</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Super, D. E. (1980). A life-span, life-space approach to career development. </w:t>
      </w:r>
      <w:r>
        <w:rPr>
          <w:rFonts w:ascii="Times New Roman" w:cs="Times New Roman" w:eastAsia="Times New Roman" w:hAnsi="Times New Roman"/>
          <w:i/>
          <w:iCs/>
          <w:sz w:val="24"/>
          <w:szCs w:val="24"/>
        </w:rPr>
        <w:t xml:space="preserve">Journal of Vocational Behavior, 16</w:t>
      </w:r>
      <w:r>
        <w:rPr>
          <w:rFonts w:ascii="Times New Roman" w:cs="Times New Roman" w:eastAsia="Times New Roman" w:hAnsi="Times New Roman"/>
          <w:i w:val="false"/>
          <w:iCs w:val="false"/>
          <w:sz w:val="24"/>
          <w:szCs w:val="24"/>
        </w:rPr>
        <w:t xml:space="preserve">(3), 282-298. https://doi.org/10.1016/0001-8791(80)90056-1</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Sverke, M., Hellgren, J., &amp; Näswall, K. (2002). No security: A meta-analysis and review of job insecurity and its consequences. </w:t>
      </w:r>
      <w:r>
        <w:rPr>
          <w:rFonts w:ascii="Times New Roman" w:cs="Times New Roman" w:eastAsia="Times New Roman" w:hAnsi="Times New Roman"/>
          <w:i/>
          <w:iCs/>
          <w:sz w:val="24"/>
          <w:szCs w:val="24"/>
        </w:rPr>
        <w:t xml:space="preserve">Journal of Occupational Health Psychology, 7</w:t>
      </w:r>
      <w:r>
        <w:rPr>
          <w:rFonts w:ascii="Times New Roman" w:cs="Times New Roman" w:eastAsia="Times New Roman" w:hAnsi="Times New Roman"/>
          <w:i w:val="false"/>
          <w:iCs w:val="false"/>
          <w:sz w:val="24"/>
          <w:szCs w:val="24"/>
        </w:rPr>
        <w:t xml:space="preserve">(3), 242-264. https://doi.org/10.1037/1076-8998.7.3.242</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David" w:cs="David" w:eastAsia="David" w:hAnsi="David"/>
      <w:b/>
      <w:bCs/>
      <w:color w:val="1F3864"/>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E6E7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התמודדות עם חוסר ודאות תעסוקתי: עבודה מסכמת</dc:title>
  <dc:creator>Ono Academic College, Career Management</dc:creator>
  <cp:lastModifiedBy>Un-named</cp:lastModifiedBy>
  <cp:revision>1</cp:revision>
  <dcterms:created xsi:type="dcterms:W3CDTF">2026-09-17T09:44:40.898Z</dcterms:created>
  <dcterms:modified xsi:type="dcterms:W3CDTF">2026-09-17T09:44:40.898Z</dcterms:modified>
</cp:coreProperties>
</file>

<file path=docProps/custom.xml><?xml version="1.0" encoding="utf-8"?>
<Properties xmlns="http://schemas.openxmlformats.org/officeDocument/2006/custom-properties" xmlns:vt="http://schemas.openxmlformats.org/officeDocument/2006/docPropsVTypes"/>
</file>