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52500" cy="952500"/>
                    </a:xfrm>
                    <a:prstGeom prst="rect">
                      <a:avLst/>
                    </a:prstGeom>
                  </pic:spPr>
                </pic:pic>
              </a:graphicData>
            </a:graphic>
          </wp:inline>
        </w:drawing>
      </w:r>
    </w:p>
    <w:p>
      <w:pPr>
        <w:bidi/>
        <w:spacing w:after="40" w:before="120" w:line="360" w:lineRule="auto"/>
        <w:jc w:val="center"/>
      </w:pPr>
      <w:r>
        <w:rPr>
          <w:rFonts w:ascii="Times New Roman" w:cs="Traditional Arabic" w:hAnsi="Times New Roman"/>
          <w:b w:val="false"/>
          <w:sz w:val="32"/>
          <w:szCs w:val="32"/>
          <w:rtl/>
        </w:rPr>
        <w:t xml:space="preserve">أكاديميّة القاسمي - كلّيّة أكاديميّة للتّربية، باقة الغربيّة</w:t>
      </w:r>
    </w:p>
    <w:p>
      <w:pPr>
        <w:bidi/>
        <w:spacing w:after="40" w:before="0" w:line="360" w:lineRule="auto"/>
        <w:jc w:val="center"/>
      </w:pPr>
      <w:r>
        <w:rPr>
          <w:rFonts w:ascii="Times New Roman" w:cs="Traditional Arabic" w:hAnsi="Times New Roman"/>
          <w:b w:val="false"/>
          <w:sz w:val="32"/>
          <w:szCs w:val="32"/>
          <w:rtl/>
        </w:rPr>
        <w:t xml:space="preserve">قسم اللغة العربيّة وآدابها</w:t>
      </w:r>
    </w:p>
    <w:p>
      <w:pPr>
        <w:bidi/>
        <w:spacing w:after="40" w:before="0" w:line="360" w:lineRule="auto"/>
        <w:jc w:val="center"/>
      </w:pPr>
      <w:r>
        <w:rPr>
          <w:rFonts w:ascii="Times New Roman" w:cs="Traditional Arabic" w:hAnsi="Times New Roman"/>
          <w:b w:val="false"/>
          <w:sz w:val="32"/>
          <w:szCs w:val="32"/>
          <w:rtl/>
        </w:rPr>
        <w:t xml:space="preserve">المساق: الحلقة الدّراسيّة في الأدب العربيّ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bCs/>
          <w:sz w:val="48"/>
          <w:szCs w:val="48"/>
          <w:rtl/>
        </w:rPr>
        <w:t xml:space="preserve">مظاهر السّخرية في رسالة الغفران لأبي العلاء المعرّي</w:t>
      </w:r>
    </w:p>
    <w:p>
      <w:pPr>
        <w:bidi/>
        <w:spacing w:after="40" w:before="0" w:line="360" w:lineRule="auto"/>
        <w:jc w:val="center"/>
      </w:pPr>
      <w:r>
        <w:rPr>
          <w:rFonts w:ascii="Times New Roman" w:cs="Traditional Arabic" w:hAnsi="Times New Roman"/>
          <w:b/>
          <w:bCs/>
          <w:sz w:val="36"/>
          <w:szCs w:val="36"/>
          <w:rtl/>
        </w:rPr>
        <w:t xml:space="preserve">دراسة في موضوعاتها وأدواتها الفنّيّة في ضوء أدب التّرسّل العبّاسيّ</w:t>
      </w:r>
    </w:p>
    <w:p>
      <w:pPr>
        <w:bidi/>
        <w:spacing w:after="40" w:before="0" w:line="360" w:lineRule="auto"/>
        <w:jc w:val="center"/>
      </w:pPr>
      <w:r>
        <w:rPr>
          <w:rFonts w:ascii="Times New Roman" w:cs="Traditional Arabic" w:hAnsi="Times New Roman"/>
          <w:b w:val="false"/>
          <w:sz w:val="32"/>
          <w:szCs w:val="32"/>
          <w:rtl/>
        </w:rPr>
        <w:t xml:space="preserve"> </w:t>
      </w:r>
    </w:p>
    <w:p>
      <w:pPr>
        <w:bidi/>
        <w:spacing w:after="40" w:before="360" w:line="360" w:lineRule="auto"/>
        <w:jc w:val="center"/>
      </w:pPr>
      <w:r>
        <w:rPr>
          <w:rFonts w:ascii="Times New Roman" w:cs="Traditional Arabic" w:hAnsi="Times New Roman"/>
          <w:b w:val="false"/>
          <w:sz w:val="32"/>
          <w:szCs w:val="32"/>
          <w:rtl/>
        </w:rPr>
        <w:t xml:space="preserve">إعداد الطّالب: عبد المهدي دحلة</w:t>
      </w:r>
    </w:p>
    <w:p>
      <w:pPr>
        <w:bidi/>
        <w:spacing w:after="40" w:before="0" w:line="360" w:lineRule="auto"/>
        <w:jc w:val="center"/>
      </w:pPr>
      <w:r>
        <w:rPr>
          <w:rFonts w:ascii="Times New Roman" w:cs="Traditional Arabic" w:hAnsi="Times New Roman"/>
          <w:b w:val="false"/>
          <w:sz w:val="32"/>
          <w:szCs w:val="32"/>
          <w:rtl/>
        </w:rPr>
        <w:t xml:space="preserve">رقم الهويّة: 212684527</w:t>
      </w:r>
    </w:p>
    <w:p>
      <w:pPr>
        <w:bidi/>
        <w:spacing w:after="40" w:before="0" w:line="360" w:lineRule="auto"/>
        <w:jc w:val="center"/>
      </w:pPr>
      <w:r>
        <w:rPr>
          <w:rFonts w:ascii="Times New Roman" w:cs="Traditional Arabic" w:hAnsi="Times New Roman"/>
          <w:b w:val="false"/>
          <w:sz w:val="32"/>
          <w:szCs w:val="32"/>
          <w:rtl/>
        </w:rPr>
        <w:t xml:space="preserve">بإرشاد: د. </w:t>
      </w:r>
      <w:r>
        <w:rPr>
          <w:rFonts w:ascii="Times New Roman" w:cs="Traditional Arabic" w:hAnsi="Times New Roman"/>
          <w:b w:val="false"/>
          <w:sz w:val="32"/>
          <w:szCs w:val="32"/>
          <w:rtl/>
        </w:rPr>
        <w:t xml:space="preserve">سمير كتّاني</w:t>
      </w:r>
    </w:p>
    <w:p>
      <w:pPr>
        <w:bidi/>
        <w:spacing w:after="40" w:before="0" w:line="360" w:lineRule="auto"/>
        <w:jc w:val="center"/>
      </w:pPr>
      <w:r>
        <w:rPr>
          <w:rFonts w:ascii="Times New Roman" w:cs="Traditional Arabic" w:hAnsi="Times New Roman"/>
          <w:b w:val="false"/>
          <w:sz w:val="32"/>
          <w:szCs w:val="32"/>
          <w:rtl/>
        </w:rPr>
        <w:t xml:space="preserve">تاريخ التّسليم: آب/أغسطس 2026</w:t>
      </w:r>
    </w:p>
    <w:p>
      <w:r>
        <w:br w:type="page"/>
      </w:r>
    </w:p>
    <w:p>
      <w:pPr>
        <w:bidi/>
        <w:spacing w:after="240" w:line="360" w:lineRule="auto"/>
        <w:jc w:val="center"/>
      </w:pPr>
      <w:r>
        <w:rPr>
          <w:rFonts w:ascii="Times New Roman" w:cs="Traditional Arabic" w:hAnsi="Times New Roman"/>
          <w:b/>
          <w:bCs/>
          <w:sz w:val="40"/>
          <w:szCs w:val="40"/>
          <w:rtl/>
        </w:rPr>
        <w:t xml:space="preserve">ملخّص البحث</w:t>
      </w:r>
    </w:p>
    <w:p>
      <w:pPr>
        <w:bidi/>
        <w:spacing w:after="40" w:before="0" w:line="360" w:lineRule="auto"/>
        <w:jc w:val="both"/>
      </w:pPr>
      <w:r>
        <w:rPr>
          <w:rFonts w:ascii="Times New Roman" w:cs="Traditional Arabic" w:hAnsi="Times New Roman"/>
          <w:b w:val="false"/>
          <w:sz w:val="32"/>
          <w:szCs w:val="32"/>
          <w:rtl/>
        </w:rPr>
        <w:t xml:space="preserve">يتناول هذا البحث مظاهر السّخرية في رسالة الغفران لأبي العلاء المعرّي، منطلقًا من قضيّة مفادها أنّ السّخرية في هذا النّصّ ليست زينة عابرة بل بنية ناظمة تنتظم الرّحلة كلّها. </w:t>
      </w:r>
      <w:r>
        <w:rPr>
          <w:rFonts w:ascii="Times New Roman" w:cs="Traditional Arabic" w:hAnsi="Times New Roman"/>
          <w:b w:val="false"/>
          <w:sz w:val="32"/>
          <w:szCs w:val="32"/>
          <w:rtl/>
        </w:rPr>
        <w:t xml:space="preserve">وعن هذه القضيّة ينبثق سؤال البحث: ما مظاهر السّخرية في الرّسالة، وبأيّ أدوات فنّيّة تحقّقت، وما الوظائف الّتي تؤدّيها؟</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ويسير في ثلاثة فصول: يقف الأوّل عند فنّ التّرسّل وأنواعه وأشكاله بوصفه القالب الّذي خرجت منه الرّسالة، ويعرض الثّاني لعصر المعرّي وحياته وثقافته وآثاره وظروف تأليف الرّسالة ردًّا على ابن القارح، ويرصد الثّالث، وهو الفصل التّطبيقيّ، موضوعات السّخرية في الرّسالة: من ابن القارح وتوبته وتملّقه، ومن الشّعراء والرّواة واللّغويّين ومقاييسهم في الرّواية والتّوثيق، ومن التّصوّرات الحسّيّة الشّائعة عن النّعيم والعذاب، ثمّ يحلّل أدواتها الفنّيّة: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وينتهي البحث إلى أنّ سخرية الغفران هزل يراد به الجدّ: نقد أدبيّ واجتماعيّ وفكريّ ألبسه المعرّي لبوس الضّحك، وأنّ قالب التّرسّل لم يكن قيدًا عليه بل ممكّنًا له، وأنّ السّخرية عنده تختلط بحنين مكبوت يمنحها عمقها الإنسانيّ. </w:t>
      </w:r>
      <w:r>
        <w:rPr>
          <w:rFonts w:ascii="Times New Roman" w:cs="Traditional Arabic" w:hAnsi="Times New Roman"/>
          <w:b w:val="false"/>
          <w:sz w:val="32"/>
          <w:szCs w:val="32"/>
          <w:rtl/>
        </w:rPr>
        <w:t xml:space="preserve">ويعتمد البحث على نصّ الرّسالة في طبعة كامل كيلاني وتحقيق بنت الشّاطئ، وعلى طائفة من الدّراسات العربيّة والأجنبيّة يشار إليها في مواضعها.</w:t>
      </w:r>
    </w:p>
    <w:p>
      <w:r>
        <w:br w:type="page"/>
      </w:r>
    </w:p>
    <w:p>
      <w:pPr>
        <w:bidi/>
        <w:spacing w:after="240" w:line="360" w:lineRule="auto"/>
        <w:jc w:val="center"/>
      </w:pPr>
      <w:r>
        <w:rPr>
          <w:rFonts w:ascii="Times New Roman" w:cs="Traditional Arabic" w:hAnsi="Times New Roman"/>
          <w:b/>
          <w:bCs/>
          <w:sz w:val="40"/>
          <w:szCs w:val="40"/>
          <w:rtl/>
        </w:rPr>
        <w:t xml:space="preserve">الفهرس</w:t>
      </w:r>
    </w:p>
    <w:sdt>
      <w:sdtPr>
        <w:alias w:val="الفهرس"/>
      </w:sdtPr>
      <w:sdtContent>
        <w:p>
          <w:r>
            <w:fldChar w:fldCharType="begin" w:dirty="true"/>
            <w:instrText xml:space="preserve">TOC \h \o "1-3"</w:instrText>
            <w:fldChar w:fldCharType="separate"/>
          </w:r>
        </w:p>
        <w:p>
          <w:r>
            <w:fldChar w:fldCharType="end"/>
          </w:r>
        </w:p>
      </w:sdtContent>
    </w:sdt>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المقدّمة</w:t>
      </w:r>
    </w:p>
    <w:p>
      <w:pPr>
        <w:bidi/>
        <w:spacing w:after="40" w:before="0" w:line="360" w:lineRule="auto"/>
        <w:jc w:val="both"/>
      </w:pPr>
      <w:r>
        <w:rPr>
          <w:rFonts w:ascii="Times New Roman" w:cs="Traditional Arabic" w:hAnsi="Times New Roman"/>
          <w:b w:val="false"/>
          <w:sz w:val="32"/>
          <w:szCs w:val="32"/>
          <w:rtl/>
        </w:rPr>
        <w:t xml:space="preserve">تحتلّ رسالة الغفران لأبي العلاء المعرّي (363-449هـ) موقعًا فريدًا في تاريخ النّثر العربيّ؛ فهي في ظاهرها ردّ على رسالة ابن القارح، وفي حقيقتها رحلة خياليّة إلى العالم الآخر يحاور فيها ابن القارح الشّعراء والرّواة واللّغويّين. </w:t>
      </w:r>
      <w:r>
        <w:rPr>
          <w:rFonts w:ascii="Times New Roman" w:cs="Traditional Arabic" w:hAnsi="Times New Roman"/>
          <w:b w:val="false"/>
          <w:sz w:val="32"/>
          <w:szCs w:val="32"/>
          <w:rtl/>
        </w:rPr>
        <w:t xml:space="preserve">وما يستوقف الدّارس أنّ السّخرية ليست فيها زينة عابرة، بل تكاد تكون العمود الفقريّ الّذي ينتظم الرّحلة كلّها: في اختيار الشّخوص، وفي المواقف، وفي المفارقة الدّائمة بين جلال الآخرة وصغائر المسائل الّتي ينشغل بها أهلها.</w:t>
      </w:r>
    </w:p>
    <w:p>
      <w:pPr>
        <w:bidi/>
        <w:spacing w:after="40" w:before="0" w:line="360" w:lineRule="auto"/>
        <w:jc w:val="both"/>
      </w:pPr>
      <w:r>
        <w:rPr>
          <w:rFonts w:ascii="Times New Roman" w:cs="Traditional Arabic" w:hAnsi="Times New Roman"/>
          <w:b w:val="false"/>
          <w:sz w:val="32"/>
          <w:szCs w:val="32"/>
          <w:rtl/>
        </w:rPr>
        <w:t xml:space="preserve">وقد انشغل كثير من الدّارسين، قديمًا وحديثًا، بالرّسالة بوصفها رحلة أخرويّة، أو بوصفها مصدرًا محتملًا من مصادر الكوميديا الإلهيّة لدانتي، أو ميدانًا للجدل حول معتقد صاحبها؛ في حين بقيت السّخرية نفسها، بوصفها ظاهرة فنّيّة لها موضوعاتها وأدواتها ووظائفها، أقلّ حظًّا من الدّرس المستقلّ. </w:t>
      </w:r>
      <w:r>
        <w:rPr>
          <w:rFonts w:ascii="Times New Roman" w:cs="Traditional Arabic" w:hAnsi="Times New Roman"/>
          <w:b w:val="false"/>
          <w:sz w:val="32"/>
          <w:szCs w:val="32"/>
          <w:rtl/>
        </w:rPr>
        <w:t xml:space="preserve">وهذه هي الفجوة الّتي يحاول البحث الحاليّ الإسهام في سدّها. </w:t>
      </w:r>
      <w:r>
        <w:rPr>
          <w:rFonts w:ascii="Times New Roman" w:cs="Traditional Arabic" w:hAnsi="Times New Roman"/>
          <w:b w:val="false"/>
          <w:sz w:val="32"/>
          <w:szCs w:val="32"/>
          <w:rtl/>
        </w:rPr>
        <w:t xml:space="preserve">ويعود اختيار الموضوع إلى ما تثيره شخصيّة المعرّي من أسئلة بجرأتها الفكريّة، وإلى الرّغبة في فهم كيف يتحوّل قالب رسميّ كالرّسالة الأدبيّة إلى فضاء للهزل الجادّ والنّقد المقنّع.</w:t>
      </w:r>
    </w:p>
    <w:p>
      <w:pPr>
        <w:bidi/>
        <w:spacing w:after="40" w:before="0" w:line="360" w:lineRule="auto"/>
        <w:jc w:val="both"/>
      </w:pPr>
      <w:r>
        <w:rPr>
          <w:rFonts w:ascii="Times New Roman" w:cs="Traditional Arabic" w:hAnsi="Times New Roman"/>
          <w:b w:val="false"/>
          <w:sz w:val="32"/>
          <w:szCs w:val="32"/>
          <w:rtl/>
        </w:rPr>
        <w:t xml:space="preserve">وليس معنى ذلك أنّ سخرية الغفران أُغفلت إغفالًا تامًّا؛ فقد أفرد لها العقّاد فصلًا في مطالعاته، وقرأت بنت الشّاطئ الرّسالة قراءة نفسيّة رائدة، ودرس حسين الواد بنيتها القصصيّة، ووازن عماد أبو رحمة بينها وبين الكوميديا الإلهيّة، وعالجت حنان بن قيراط سخريتها بوصفها آليّة حجاجيّة</w:t>
      </w:r>
      <w:r>
        <w:rPr>
          <w:rStyle w:val="FootnoteReference"/>
        </w:rPr>
        <w:footnoteReference w:id="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غير أنّ هذه الجهود توزّعت بين مدخل نفسيّ وبنيويّ ومقارن وفلسفيّ، وبقي رصد مظاهر السّخرية رصدًا منظّمًا يجمع موضوعاتها وأدواتها وموقف صاحبها في إطار واحد حاجةً قائمة؛ وهو ما يتصدّى له هذا البحث.</w:t>
      </w:r>
    </w:p>
    <w:p>
      <w:pPr>
        <w:bidi/>
        <w:spacing w:after="40" w:before="0" w:line="360" w:lineRule="auto"/>
        <w:jc w:val="both"/>
      </w:pPr>
      <w:r>
        <w:rPr>
          <w:rFonts w:ascii="Times New Roman" w:cs="Traditional Arabic" w:hAnsi="Times New Roman"/>
          <w:b w:val="false"/>
          <w:sz w:val="32"/>
          <w:szCs w:val="32"/>
          <w:rtl/>
        </w:rPr>
        <w:t xml:space="preserve">ينطلق هذا البحث من قضيّة مركزيّة مفادها أنّ السّخرية في رسالة الغفران بنية ناظمة تكشف موقف المعرّي من أعلام التّراث الأدبيّ واللّغويّ، ومن ابن القارح المرسَل إليه، ومن التّصوّرات الجاهزة الشّائعة في عصره. </w:t>
      </w:r>
      <w:r>
        <w:rPr>
          <w:rFonts w:ascii="Times New Roman" w:cs="Traditional Arabic" w:hAnsi="Times New Roman"/>
          <w:b w:val="false"/>
          <w:sz w:val="32"/>
          <w:szCs w:val="32"/>
          <w:rtl/>
        </w:rPr>
        <w:t xml:space="preserve">وعن هذه القضيّة ينبثق سؤال البحث المركزيّ: ما مظاهر السّخرية في رسالة الغفران، وبأيّ أدوات فنّيّة تحقّقت، وما الوظائف الّتي تؤدّيها في النّصّ؟ وتتفرّع عنه ثلاثة أسئلة فرعيّة: أ. </w:t>
      </w:r>
      <w:r>
        <w:rPr>
          <w:rFonts w:ascii="Times New Roman" w:cs="Traditional Arabic" w:hAnsi="Times New Roman"/>
          <w:b w:val="false"/>
          <w:sz w:val="32"/>
          <w:szCs w:val="32"/>
          <w:rtl/>
        </w:rPr>
        <w:t xml:space="preserve">كيف وظّف المعرّي قالب التّرسّل في بناء نصّ ساخر؟ ب. </w:t>
      </w:r>
      <w:r>
        <w:rPr>
          <w:rFonts w:ascii="Times New Roman" w:cs="Traditional Arabic" w:hAnsi="Times New Roman"/>
          <w:b w:val="false"/>
          <w:sz w:val="32"/>
          <w:szCs w:val="32"/>
          <w:rtl/>
        </w:rPr>
        <w:t xml:space="preserve">ممّن يسخر المعرّي وممّ يسخر؟ ج. </w:t>
      </w:r>
      <w:r>
        <w:rPr>
          <w:rFonts w:ascii="Times New Roman" w:cs="Traditional Arabic" w:hAnsi="Times New Roman"/>
          <w:b w:val="false"/>
          <w:sz w:val="32"/>
          <w:szCs w:val="32"/>
          <w:rtl/>
        </w:rPr>
        <w:t xml:space="preserve">ما موقف الكاتب نفسه ممّا يسخر منه؟</w:t>
      </w:r>
    </w:p>
    <w:p>
      <w:pPr>
        <w:bidi/>
        <w:spacing w:after="40" w:before="0" w:line="360" w:lineRule="auto"/>
        <w:jc w:val="both"/>
      </w:pPr>
      <w:r>
        <w:rPr>
          <w:rFonts w:ascii="Times New Roman" w:cs="Traditional Arabic" w:hAnsi="Times New Roman"/>
          <w:b w:val="false"/>
          <w:sz w:val="32"/>
          <w:szCs w:val="32"/>
          <w:rtl/>
        </w:rPr>
        <w:t xml:space="preserve">ويحسن منذ البدء تحديد المفهوم المركزيّ: فالمقصود بالسّخرية هنا طريقة في التّعبير تقلب المعنى إلى عكس ما يقصده الكاتب حقيقةً، فتحمل النّقد في صورة الضّحك</w:t>
      </w:r>
      <w:r>
        <w:rPr>
          <w:rStyle w:val="FootnoteReference"/>
        </w:rPr>
        <w:footnoteReference w:id="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أمّا إجرائيًّا فسيعدّ البحث من مظاهر السّخرية كلّ موضع في الرّسالة تقوم دلالته على مفارقة بين ظاهر القول وباطنه، أو بين جلال المقام وصغر الموضوع، أو على محاكاة هازئة لخطاب قائم. </w:t>
      </w:r>
      <w:r>
        <w:rPr>
          <w:rFonts w:ascii="Times New Roman" w:cs="Traditional Arabic" w:hAnsi="Times New Roman"/>
          <w:b w:val="false"/>
          <w:sz w:val="32"/>
          <w:szCs w:val="32"/>
          <w:rtl/>
        </w:rPr>
        <w:t xml:space="preserve">وبهذا الضّابط تتميّز السّخرية من مجرّد الفكاهة العابرة، ويصير رصدها في النّصّ قابلًا للفحص.</w:t>
      </w:r>
    </w:p>
    <w:p>
      <w:pPr>
        <w:bidi/>
        <w:spacing w:after="40" w:before="0" w:line="360" w:lineRule="auto"/>
        <w:jc w:val="both"/>
      </w:pPr>
      <w:r>
        <w:rPr>
          <w:rFonts w:ascii="Times New Roman" w:cs="Traditional Arabic" w:hAnsi="Times New Roman"/>
          <w:b w:val="false"/>
          <w:sz w:val="32"/>
          <w:szCs w:val="32"/>
          <w:rtl/>
        </w:rPr>
        <w:t xml:space="preserve">وتكمن أهمّيّة البحث في جانبين: نظريّ يختبر صلاحية مصطلح السّخرية أداةً لقراءة نصّ تراثيّ كبير، وتطبيقيّ يقدّم قراءة منظّمة يمكن الإفادة منها في تدريس النّثر العبّاسيّ والنّقد القديم.</w:t>
      </w:r>
    </w:p>
    <w:p>
      <w:pPr>
        <w:bidi/>
        <w:spacing w:after="40" w:before="0" w:line="360" w:lineRule="auto"/>
        <w:jc w:val="both"/>
      </w:pPr>
      <w:r>
        <w:rPr>
          <w:rFonts w:ascii="Times New Roman" w:cs="Traditional Arabic" w:hAnsi="Times New Roman"/>
          <w:b w:val="false"/>
          <w:sz w:val="32"/>
          <w:szCs w:val="32"/>
          <w:rtl/>
        </w:rPr>
        <w:t xml:space="preserve">يعتمد البحث المنهج الوصفيّ التّحليليّ في ثلاثة فصول تسبقها هذه المقدّمة وتليها خاتمة: فنّ التّرسّل الّذي خرجت الرّسالة من معطفه، فحياة المعرّي وآثاره بوصفها سياق النّصّ، فالفصل التّطبيقيّ الّذي يرصد مظاهر السّخرية ويحلّل موضوعاتها وأدواتها.</w:t>
      </w:r>
    </w:p>
    <w:p>
      <w:pPr>
        <w:bidi/>
        <w:spacing w:after="40" w:before="0" w:line="360" w:lineRule="auto"/>
        <w:jc w:val="both"/>
      </w:pPr>
      <w:r>
        <w:rPr>
          <w:rFonts w:ascii="Times New Roman" w:cs="Traditional Arabic" w:hAnsi="Times New Roman"/>
          <w:b w:val="false"/>
          <w:sz w:val="32"/>
          <w:szCs w:val="32"/>
          <w:rtl/>
        </w:rPr>
        <w:t xml:space="preserve">أمّا مصادر البحث فيأتي في مقدّمتها نصّ رسالة الغفران في طبعة كامل كيلاني وتحقيق عائشة عبد الرّحمن (بنت الشّاطئ)، إلى جانب مختارات من الرّسالة قدّم لها أحمد رجب شلتوت</w:t>
      </w:r>
      <w:r>
        <w:rPr>
          <w:rStyle w:val="FootnoteReference"/>
        </w:rPr>
        <w:footnoteReference w:id="3"/>
      </w:r>
      <w:r>
        <w:rPr>
          <w:rFonts w:ascii="Times New Roman" w:cs="Traditional Arabic" w:hAnsi="Times New Roman"/>
          <w:b w:val="false"/>
          <w:sz w:val="32"/>
          <w:szCs w:val="32"/>
          <w:rtl/>
        </w:rPr>
        <w:t xml:space="preserve">، ودراسات في المعرّي وعصره وفي النّثر العبّاسيّ والسّخرية، عربيّةً وأجنبيّةً، يشار إليها في مواضعها من الحواشي.</w:t>
      </w:r>
    </w:p>
    <w:p>
      <w:pPr>
        <w:bidi/>
        <w:spacing w:after="40" w:before="0" w:line="360" w:lineRule="auto"/>
        <w:jc w:val="both"/>
      </w:pPr>
      <w:r>
        <w:rPr>
          <w:rFonts w:ascii="Times New Roman" w:cs="Traditional Arabic" w:hAnsi="Times New Roman"/>
          <w:b w:val="false"/>
          <w:sz w:val="32"/>
          <w:szCs w:val="32"/>
          <w:rtl/>
        </w:rPr>
        <w:t xml:space="preserve">وحدّ البحث أنّه يقف عند قسم الرّحلة بالدّرجة الأولى، موضعِ القصّ والسّخرية، مجتزئًا منه نماذج دالّة من غير ادّعاء الإحاطة بكلّ المشاهد.</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الأوّل: أدب التّرسّل: أنواعه وأشكاله</w:t>
      </w:r>
    </w:p>
    <w:p>
      <w:pPr>
        <w:pStyle w:val="Heading2"/>
        <w:keepNext/>
        <w:bidi/>
        <w:spacing w:after="80" w:before="160" w:line="360" w:lineRule="auto"/>
        <w:jc w:val="right"/>
      </w:pPr>
      <w:r>
        <w:rPr>
          <w:rFonts w:ascii="Times New Roman" w:cs="Traditional Arabic" w:hAnsi="Times New Roman"/>
          <w:b/>
          <w:bCs/>
          <w:sz w:val="36"/>
          <w:szCs w:val="36"/>
          <w:rtl/>
        </w:rPr>
        <w:t xml:space="preserve">1.1 مفهوم التّرسّل لغةً واصطلاحًا</w:t>
      </w:r>
    </w:p>
    <w:p>
      <w:pPr>
        <w:bidi/>
        <w:spacing w:after="40" w:before="0" w:line="360" w:lineRule="auto"/>
        <w:jc w:val="both"/>
      </w:pPr>
      <w:r>
        <w:rPr>
          <w:rFonts w:ascii="Times New Roman" w:cs="Traditional Arabic" w:hAnsi="Times New Roman"/>
          <w:b w:val="false"/>
          <w:sz w:val="32"/>
          <w:szCs w:val="32"/>
          <w:rtl/>
        </w:rPr>
        <w:t xml:space="preserve">التّرسّل في اللغة مأخوذ من مادّة (ر س ل)؛ ومنها الرَّسول والرِّسالة والمُراسلة. </w:t>
      </w:r>
      <w:r>
        <w:rPr>
          <w:rFonts w:ascii="Times New Roman" w:cs="Traditional Arabic" w:hAnsi="Times New Roman"/>
          <w:b w:val="false"/>
          <w:sz w:val="32"/>
          <w:szCs w:val="32"/>
          <w:rtl/>
        </w:rPr>
        <w:t xml:space="preserve">والتّرسّل في الكلام التّمهّل والتّأنّي فيه، ثمّ غلب المصطلح على فنّ إنشاء الرّسائل، حتّى صار "التّرسّل" علمًا على الكتابة الإنشائيّة الّتي يخاطب بها الكاتب غيره في شؤون الدّولة أو الإخوانيّات أو موضوعات الأدب والفكر.</w:t>
      </w:r>
    </w:p>
    <w:p>
      <w:pPr>
        <w:bidi/>
        <w:spacing w:after="40" w:before="0" w:line="360" w:lineRule="auto"/>
        <w:jc w:val="both"/>
      </w:pPr>
      <w:r>
        <w:rPr>
          <w:rFonts w:ascii="Times New Roman" w:cs="Traditional Arabic" w:hAnsi="Times New Roman"/>
          <w:b w:val="false"/>
          <w:sz w:val="32"/>
          <w:szCs w:val="32"/>
          <w:rtl/>
        </w:rPr>
        <w:t xml:space="preserve">وينبغي فهم هذا الفنّ داخل الإطار الواسع لمصطلح "الأدب" في الموروث الكلاسيكيّ؛ فقد بيّن سمير كتّاني أنّ اللفظة شملت شتّى صنوف المعارف والفنون، واستخدمها المهتمّون بالوصف النّظريّ للحضارة كابن المقفّع ومسكويه، والمهتمّون بالأدب الجميل كالجاحظ والمبرّد والثّعالبيّ</w:t>
      </w:r>
      <w:r>
        <w:rPr>
          <w:rStyle w:val="FootnoteReference"/>
        </w:rPr>
        <w:footnoteReference w:id="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ويذكر كتّاني أنّ الدّراسة الّتي قام بها المستشرق الإيطاليّ كارلو نالينو في استعراض المعاني الكلاسيكيّة للمصطلح تعدّ أبرز دراسة في هذا المضمار، وقد ترجم كتابه إلى العربيّة تحت الاسم تاريخ الآداب العربيّة</w:t>
      </w:r>
      <w:r>
        <w:rPr>
          <w:rStyle w:val="FootnoteReference"/>
        </w:rPr>
        <w:footnoteReference w:id="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هذا الإطار الرّحب كانت الرّسالة الأدبيّة وعاءً معرفيًّا يتّسع للّغة والنّقد والفكر، لا مجرّد وسيلة اتّصال عمليّة.</w:t>
      </w:r>
    </w:p>
    <w:p>
      <w:pPr>
        <w:bidi/>
        <w:spacing w:after="40" w:before="0" w:line="360" w:lineRule="auto"/>
        <w:jc w:val="both"/>
      </w:pPr>
      <w:r>
        <w:rPr>
          <w:rFonts w:ascii="Times New Roman" w:cs="Traditional Arabic" w:hAnsi="Times New Roman"/>
          <w:b w:val="false"/>
          <w:sz w:val="32"/>
          <w:szCs w:val="32"/>
          <w:rtl/>
        </w:rPr>
        <w:t xml:space="preserve">وفي الاصطلاح: التّرسّل قسيم الخطابة، كلاهما مخاطبة بقصد الإفهام والتّأثير، غير أنّ الخطابة مشافهة والتّرسّل كتابة؛ وقد رصد زكي مبارك وشوقي ضيف تطوّره من البساطة المرسلة إلى الصّنعة المسجوعة</w:t>
      </w:r>
      <w:r>
        <w:rPr>
          <w:rStyle w:val="FootnoteReference"/>
        </w:rPr>
        <w:footnoteReference w:id="6"/>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1.2 نشأة فنّ التّرسّل وتطوّره حتّى العصر العبّاسيّ</w:t>
      </w:r>
    </w:p>
    <w:p>
      <w:pPr>
        <w:bidi/>
        <w:spacing w:after="40" w:before="0" w:line="360" w:lineRule="auto"/>
        <w:jc w:val="both"/>
      </w:pPr>
      <w:r>
        <w:rPr>
          <w:rFonts w:ascii="Times New Roman" w:cs="Traditional Arabic" w:hAnsi="Times New Roman"/>
          <w:b w:val="false"/>
          <w:sz w:val="32"/>
          <w:szCs w:val="32"/>
          <w:rtl/>
        </w:rPr>
        <w:t xml:space="preserve">عرفت العربيّة الرّسائل منذ صدر الإسلام رسائلَ قصيرةً عمليّةً؛ فلمّا اتّسعت الدّولة في العصر الأمويّ نشأ ديوان الرّسائل وظهر الكتّاب المحترفون، وعلى رأسهم عبد الحميد الكاتب الّذي وسّع الرّسالة وأدخل فيها المقدّمات والدّعاء، حتّى قيل: فُتحت الرّسائل بعبد الحميد وخُتمت بابن العميد. </w:t>
      </w:r>
      <w:r>
        <w:rPr>
          <w:rFonts w:ascii="Times New Roman" w:cs="Traditional Arabic" w:hAnsi="Times New Roman"/>
          <w:b w:val="false"/>
          <w:sz w:val="32"/>
          <w:szCs w:val="32"/>
          <w:rtl/>
        </w:rPr>
        <w:t xml:space="preserve">وقد خلّف عبد الحميد رسالته المشهورة إلى الكتّاب الّتي يوصيهم فيها بحفظ صناعتهم وآدابها، فكانت أشبه بدستور مبكّر لمهنة الكتابة</w:t>
      </w:r>
      <w:r>
        <w:rPr>
          <w:rStyle w:val="FootnoteReference"/>
        </w:rPr>
        <w:footnoteReference w:id="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تتبّع أنيس المقدسي تطوّر هذه الأساليب النّثريّة منذ ظهور الإسلام، مبيّنًا كيف انتقلت الكتابة من الإيجاز المرسل إلى التّفنّن والصّنعة</w:t>
      </w:r>
      <w:r>
        <w:rPr>
          <w:rStyle w:val="FootnoteReference"/>
        </w:rPr>
        <w:footnoteReference w:id="8"/>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العصر العبّاسيّ بلغ التّرسّل ذروته؛ إذ تنوّعت أغراضه وتعدّدت أساليبه، وكتب الجاحظ رسائله في موضوعات الجدّ والهزل جميعًا، ثمّ جاء القرن الرّابع الهجريّ فشهد ما سمّاه زكي مبارك عصر الصّنعة: ابن العميد والصّاحب بن عبّاد وأبو بكر الخوارزميّ وبديع الزّمان الهمذانيّ، وغلب السّجع والبديع على الكتابة حتّى صارت الرّسالة قطعة فنّيّة تقصد لذاتها</w:t>
      </w:r>
      <w:r>
        <w:rPr>
          <w:rStyle w:val="FootnoteReference"/>
        </w:rPr>
        <w:footnoteReference w:id="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البيئة المشبعة بالصّنعة تعلّم المعرّي وكتب.</w:t>
      </w:r>
    </w:p>
    <w:p>
      <w:pPr>
        <w:pStyle w:val="Heading2"/>
        <w:keepNext/>
        <w:bidi/>
        <w:spacing w:after="80" w:before="160" w:line="360" w:lineRule="auto"/>
        <w:jc w:val="right"/>
      </w:pPr>
      <w:r>
        <w:rPr>
          <w:rFonts w:ascii="Times New Roman" w:cs="Traditional Arabic" w:hAnsi="Times New Roman"/>
          <w:b/>
          <w:bCs/>
          <w:sz w:val="36"/>
          <w:szCs w:val="36"/>
          <w:rtl/>
        </w:rPr>
        <w:t xml:space="preserve">1.3 أنواع الرّسائل وأشكالها</w:t>
      </w:r>
    </w:p>
    <w:p>
      <w:pPr>
        <w:bidi/>
        <w:spacing w:after="40" w:before="0" w:line="360" w:lineRule="auto"/>
        <w:jc w:val="both"/>
      </w:pPr>
      <w:r>
        <w:rPr>
          <w:rFonts w:ascii="Times New Roman" w:cs="Traditional Arabic" w:hAnsi="Times New Roman"/>
          <w:b w:val="false"/>
          <w:sz w:val="32"/>
          <w:szCs w:val="32"/>
          <w:rtl/>
        </w:rPr>
        <w:t xml:space="preserve">جرى الدّارسون على تقسيم الرّسائل ثلاثة أنواع كبرى. </w:t>
      </w:r>
      <w:r>
        <w:rPr>
          <w:rFonts w:ascii="Times New Roman" w:cs="Traditional Arabic" w:hAnsi="Times New Roman"/>
          <w:b w:val="false"/>
          <w:sz w:val="32"/>
          <w:szCs w:val="32"/>
          <w:rtl/>
        </w:rPr>
        <w:t xml:space="preserve">أوّلها الرّسائل الدّيوانيّة، وهي الرّسمية الّتي تصدر عن دواوين الدّولة في العهود والولايات والفتوح والمكاتبات بين الملوك، ويغلب عليها التّدقيق في الألقاب والمراتب. </w:t>
      </w:r>
      <w:r>
        <w:rPr>
          <w:rFonts w:ascii="Times New Roman" w:cs="Traditional Arabic" w:hAnsi="Times New Roman"/>
          <w:b w:val="false"/>
          <w:sz w:val="32"/>
          <w:szCs w:val="32"/>
          <w:rtl/>
        </w:rPr>
        <w:t xml:space="preserve">وثانيها الرّسائل الإخوانيّة الّتي تجري بين الأدباء والأصدقاء في التّهنئة والتّعزية والشّكر والعتاب والشّوق والاستزارة، وفيها تظهر عواطف الكاتب وذوقه. </w:t>
      </w:r>
      <w:r>
        <w:rPr>
          <w:rFonts w:ascii="Times New Roman" w:cs="Traditional Arabic" w:hAnsi="Times New Roman"/>
          <w:b w:val="false"/>
          <w:sz w:val="32"/>
          <w:szCs w:val="32"/>
          <w:rtl/>
        </w:rPr>
        <w:t xml:space="preserve">وثالثها الرّسائل الأدبيّة، وهي الّتي تعالج موضوعًا أدبيًّا أو لغويًّا أو فكريًّا معالجة مبسوطة، فتقترب من المقالة أو الكتاب المصغّر، وإن حافظت على صيغة الخطاب إلى مرسَل إليه بعينه.</w:t>
      </w:r>
    </w:p>
    <w:p>
      <w:pPr>
        <w:bidi/>
        <w:spacing w:after="40" w:before="0" w:line="360" w:lineRule="auto"/>
        <w:jc w:val="both"/>
      </w:pPr>
      <w:r>
        <w:rPr>
          <w:rFonts w:ascii="Times New Roman" w:cs="Traditional Arabic" w:hAnsi="Times New Roman"/>
          <w:b w:val="false"/>
          <w:sz w:val="32"/>
          <w:szCs w:val="32"/>
          <w:rtl/>
        </w:rPr>
        <w:t xml:space="preserve">ولكلّ نوع أعلامه: فللدّيوانيّات عبد الحميد وابن العميد، وللإخوانيّات الصّاحب والخوارزميّ وبديع الزّمان، وللرّسائل الأدبيّة الجاحظ قبلهم جميعًا. </w:t>
      </w:r>
      <w:r>
        <w:rPr>
          <w:rFonts w:ascii="Times New Roman" w:cs="Traditional Arabic" w:hAnsi="Times New Roman"/>
          <w:b w:val="false"/>
          <w:sz w:val="32"/>
          <w:szCs w:val="32"/>
          <w:rtl/>
        </w:rPr>
        <w:t xml:space="preserve">ورسالة الغفران بهذا التّقسيم رسالة أدبيّة في المقام الأوّل، لكنّها تفتتح كما تفتتح الإخوانيّات بالثّناء على المرسَل إليه والدّعاء له، وهذا المزج جزء من لعبتها كما سيتبيّن.</w:t>
      </w:r>
    </w:p>
    <w:p>
      <w:pPr>
        <w:bidi/>
        <w:spacing w:after="40" w:before="0" w:line="360" w:lineRule="auto"/>
        <w:jc w:val="both"/>
      </w:pPr>
      <w:r>
        <w:rPr>
          <w:rFonts w:ascii="Times New Roman" w:cs="Traditional Arabic" w:hAnsi="Times New Roman"/>
          <w:b w:val="false"/>
          <w:sz w:val="32"/>
          <w:szCs w:val="32"/>
          <w:rtl/>
        </w:rPr>
        <w:t xml:space="preserve">وليست الحدود بين هذه الأنواع قاطعة؛ فالرّسالة الإخوانيّة قد تتّسع لمباحث أدبيّة، والرّسالة الأدبيّة تبدأ غالبًا بديباجة إخوانيّة في مدح المرسَل إليه والدّعاء له. </w:t>
      </w:r>
      <w:r>
        <w:rPr>
          <w:rFonts w:ascii="Times New Roman" w:cs="Traditional Arabic" w:hAnsi="Times New Roman"/>
          <w:b w:val="false"/>
          <w:sz w:val="32"/>
          <w:szCs w:val="32"/>
          <w:rtl/>
        </w:rPr>
        <w:t xml:space="preserve">وهذا التّداخل بالذّات هو ما استثمره المعرّي في رسالة الغفران كما سيأتي.</w:t>
      </w:r>
    </w:p>
    <w:p>
      <w:pPr>
        <w:bidi/>
        <w:spacing w:after="40" w:before="0" w:line="360" w:lineRule="auto"/>
        <w:jc w:val="both"/>
      </w:pPr>
      <w:r>
        <w:rPr>
          <w:rFonts w:ascii="Times New Roman" w:cs="Traditional Arabic" w:hAnsi="Times New Roman"/>
          <w:b w:val="false"/>
          <w:sz w:val="32"/>
          <w:szCs w:val="32"/>
          <w:rtl/>
        </w:rPr>
        <w:t xml:space="preserve">وتعدّدت أشكال الرّسالة من التّوقيع الموجز إلى الرّسالة المطوّلة الّتي تبلغ حجم الكتاب؛ وعلى هذا الطّرف الأخير تقع رسالة الغفران، فهي في المطبوع مئات الصّفحات، ممّا يدلّ على أنّ الصّيغة صارت إطارًا تنظيميًّا أكثر منها قيدًا على الحجم.</w:t>
      </w:r>
    </w:p>
    <w:p>
      <w:pPr>
        <w:bidi/>
        <w:spacing w:after="40" w:before="0" w:line="360" w:lineRule="auto"/>
        <w:jc w:val="both"/>
      </w:pPr>
      <w:r>
        <w:rPr>
          <w:rFonts w:ascii="Times New Roman" w:cs="Traditional Arabic" w:hAnsi="Times New Roman"/>
          <w:b w:val="false"/>
          <w:sz w:val="32"/>
          <w:szCs w:val="32"/>
          <w:rtl/>
        </w:rPr>
        <w:t xml:space="preserve">وقد غلبت على كتابة هذه الحقبة خصائص أسلوبيّة كتبت الغفران بها جميعًا: السّجع، والازدواج، والاقتباس، واستعراض الغريب. </w:t>
      </w:r>
      <w:r>
        <w:rPr>
          <w:rFonts w:ascii="Times New Roman" w:cs="Traditional Arabic" w:hAnsi="Times New Roman"/>
          <w:b w:val="false"/>
          <w:sz w:val="32"/>
          <w:szCs w:val="32"/>
          <w:rtl/>
        </w:rPr>
        <w:t xml:space="preserve">وممّا يلحظه الباحث أنّ هذه الصّنعة نفسها تدخل عند المعرّي في لعبة السّخرية: فالسّجع المتكلّف والغريب المتقعّر يساقان في مواضع الهزل، فيصير التّأنّق الأسلوبيّ ذاته موضع ابتسام؛ وهي ملاحظة سيبني عليها الفصل الثّالث.</w:t>
      </w:r>
    </w:p>
    <w:p>
      <w:pPr>
        <w:pStyle w:val="Heading2"/>
        <w:keepNext/>
        <w:bidi/>
        <w:spacing w:after="80" w:before="160" w:line="360" w:lineRule="auto"/>
        <w:jc w:val="right"/>
      </w:pPr>
      <w:r>
        <w:rPr>
          <w:rFonts w:ascii="Times New Roman" w:cs="Traditional Arabic" w:hAnsi="Times New Roman"/>
          <w:b/>
          <w:bCs/>
          <w:sz w:val="36"/>
          <w:szCs w:val="36"/>
          <w:rtl/>
        </w:rPr>
        <w:t xml:space="preserve">1.4 الرّسالة الأدبيّة قالبًا للسّرد والخيال</w:t>
      </w:r>
    </w:p>
    <w:p>
      <w:pPr>
        <w:bidi/>
        <w:spacing w:after="40" w:before="0" w:line="360" w:lineRule="auto"/>
        <w:jc w:val="both"/>
      </w:pPr>
      <w:r>
        <w:rPr>
          <w:rFonts w:ascii="Times New Roman" w:cs="Traditional Arabic" w:hAnsi="Times New Roman"/>
          <w:b w:val="false"/>
          <w:sz w:val="32"/>
          <w:szCs w:val="32"/>
          <w:rtl/>
        </w:rPr>
        <w:t xml:space="preserve">شهد القرنان الرّابع والخامس تحوّلًا لافتًا: صارت الرّسالة الأدبيّة قالبًا يتّسع للقصّة والمناظرة والرّحلة الخياليّة. </w:t>
      </w:r>
      <w:r>
        <w:rPr>
          <w:rFonts w:ascii="Times New Roman" w:cs="Traditional Arabic" w:hAnsi="Times New Roman"/>
          <w:b w:val="false"/>
          <w:sz w:val="32"/>
          <w:szCs w:val="32"/>
          <w:rtl/>
        </w:rPr>
        <w:t xml:space="preserve">فقد بنى الجاحظ قبل ذلك رسالة التّربيع والتّدوير على السّخرية من خصمه أحمد بن عبد الوهّاب الّذي كان يدّعي الإحاطة بكلّ علم، فأمطره بمئات الأسئلة الّتي يظاهرها طلب الفائدة ويبطنها التّهكّم؛ فكانت الرّسالة نموذجًا مبكّرًا للقالب الّذي ظاهره الجدّ وباطنه الهزل، وكتب ابن شهيد الأندلسيّ رسالة التّوابع والزّوابع رحلةً خياليّةً إلى وادي الجنّ يحاور فيها شياطين الشّعراء</w:t>
      </w:r>
      <w:r>
        <w:rPr>
          <w:rStyle w:val="FootnoteReference"/>
        </w:rPr>
        <w:footnoteReference w:id="10"/>
      </w:r>
      <w:r>
        <w:rPr>
          <w:rFonts w:ascii="Times New Roman" w:cs="Traditional Arabic" w:hAnsi="Times New Roman"/>
          <w:b w:val="false"/>
          <w:sz w:val="32"/>
          <w:szCs w:val="32"/>
          <w:rtl/>
        </w:rPr>
        <w:t xml:space="preserve">، وللمعرّي نفسه رسائل بنيت على التّخييل كرسالة الصّاهل والشّاحج على ألسنة الحيوان ورسالة الملائكة في مساءلة ملائكة السّماء عن تصاريف اللّغة.</w:t>
      </w:r>
    </w:p>
    <w:p>
      <w:pPr>
        <w:bidi/>
        <w:spacing w:after="40" w:before="0" w:line="360" w:lineRule="auto"/>
        <w:jc w:val="both"/>
      </w:pPr>
      <w:r>
        <w:rPr>
          <w:rFonts w:ascii="Times New Roman" w:cs="Traditional Arabic" w:hAnsi="Times New Roman"/>
          <w:b w:val="false"/>
          <w:sz w:val="32"/>
          <w:szCs w:val="32"/>
          <w:rtl/>
        </w:rPr>
        <w:t xml:space="preserve">فلمّا وصل هذا القالب إلى يد المعرّي كان مهيّأً لاحتمال ما حمّله إيّاه: ردّ على رسالة بعينها في ظاهره، ورحلة قصصيّة كاملة في باطنه. </w:t>
      </w:r>
      <w:r>
        <w:rPr>
          <w:rFonts w:ascii="Times New Roman" w:cs="Traditional Arabic" w:hAnsi="Times New Roman"/>
          <w:b w:val="false"/>
          <w:sz w:val="32"/>
          <w:szCs w:val="32"/>
          <w:rtl/>
        </w:rPr>
        <w:t xml:space="preserve">وقد وصف شلتوت رسالة الغفران بأنّها "رسالة ذات طابع روائيّ"، جعل المعرّي فيها من ابن القارح بطلًا لرحلة خياليّة أدبيّة عجيبة يحاور فيها الأدباء والشّعراء واللّغويّين في العالم الآخر</w:t>
      </w:r>
      <w:r>
        <w:rPr>
          <w:rStyle w:val="FootnoteReference"/>
        </w:rPr>
        <w:footnoteReference w:id="1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يتبيّن أنّ السّخرية الّتي هي موضوع هذا البحث لم تنزل على قالب غريب عنها؛ فالتّرسّل الأدبيّ كان قد فتح بابه للهزل الجادّ قبل المعرّي، غير أنّ صاحب الغفران دفع بهذا الباب إلى أقصاه.</w:t>
      </w:r>
    </w:p>
    <w:p>
      <w:pPr>
        <w:pStyle w:val="Heading2"/>
        <w:keepNext/>
        <w:bidi/>
        <w:spacing w:after="80" w:before="160" w:line="360" w:lineRule="auto"/>
        <w:jc w:val="right"/>
      </w:pPr>
      <w:r>
        <w:rPr>
          <w:rFonts w:ascii="Times New Roman" w:cs="Traditional Arabic" w:hAnsi="Times New Roman"/>
          <w:b/>
          <w:bCs/>
          <w:sz w:val="36"/>
          <w:szCs w:val="36"/>
          <w:rtl/>
        </w:rPr>
        <w:t xml:space="preserve">1.5 التّرسّل عند المعرّي قبل الغفران</w:t>
      </w:r>
    </w:p>
    <w:p>
      <w:pPr>
        <w:bidi/>
        <w:spacing w:after="40" w:before="0" w:line="360" w:lineRule="auto"/>
        <w:jc w:val="both"/>
      </w:pPr>
      <w:r>
        <w:rPr>
          <w:rFonts w:ascii="Times New Roman" w:cs="Traditional Arabic" w:hAnsi="Times New Roman"/>
          <w:b w:val="false"/>
          <w:sz w:val="32"/>
          <w:szCs w:val="32"/>
          <w:rtl/>
        </w:rPr>
        <w:t xml:space="preserve">لم تكن الغفران أولى تجارب المعرّي في هذا القالب؛ فقد كتب رسائل إخوانيّة كثيرة جُمعت في مصنّف مستقلّ، وكتب رسالة الملائكة الّتي يتخيّل فيها مساءلة ملائكة السّماء عن مسائل التّصريف اللّغويّ، ورسالة الصّاهل والشّاحج الّتي أدار حوارها على ألسنة الخيل والبغال معرّضًا بأحوال عصره السّياسيّة</w:t>
      </w:r>
      <w:r>
        <w:rPr>
          <w:rStyle w:val="FootnoteReference"/>
        </w:rPr>
        <w:footnoteReference w:id="1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هذه التّجارب كلّها يظهر الملمحان اللّذان سيبلغان تمامهما في الغفران: نقل الجدل العلميّ إلى فضاء متخيّل غير أرضيّ، وإجراء الكلام على ألسنة من لا يتكلّم عادةً، من ملائكة وحيوان.</w:t>
      </w:r>
    </w:p>
    <w:p>
      <w:pPr>
        <w:bidi/>
        <w:spacing w:after="40" w:before="0" w:line="360" w:lineRule="auto"/>
        <w:jc w:val="both"/>
      </w:pPr>
      <w:r>
        <w:rPr>
          <w:rFonts w:ascii="Times New Roman" w:cs="Traditional Arabic" w:hAnsi="Times New Roman"/>
          <w:b w:val="false"/>
          <w:sz w:val="32"/>
          <w:szCs w:val="32"/>
          <w:rtl/>
        </w:rPr>
        <w:t xml:space="preserve">فيبدو الغفران ثمرة نضج طويل في التّعامل مع القالب: اجتمع فيها الخيال الأخرويّ من رسالة الملائكة، والتّعريض من الصّاهل والشّاحج، وأدب المجاملة من رسائله، ثمّ زادت بالبناء القصصيّ المحكم الّذي جعل بعض المحدثين يقرؤونها بوصفها عملًا روائيًّا مبكّرًا؛ وفي طليعتهم حسين الواد الّذي درس بنيتها القصصيّة دراسة كاملة</w:t>
      </w:r>
      <w:r>
        <w:rPr>
          <w:rStyle w:val="FootnoteReference"/>
        </w:rPr>
        <w:footnoteReference w:id="1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يجيب الفصل عن شقّه من سؤال البحث: وظّف المعرّي قالب التّرسّل بأن ورث أعرافه كلّها ثمّ قلبها من الدّاخل، فحوّل الرّدّ الإخوانيّ إلى رحلة، والمجاملة إلى امتحان، والدّيباجة إلى مصيدة.</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الثّاني: أبو العلاء المعرّي: حياته وآثاره</w:t>
      </w:r>
    </w:p>
    <w:p>
      <w:pPr>
        <w:pStyle w:val="Heading2"/>
        <w:keepNext/>
        <w:bidi/>
        <w:spacing w:after="80" w:before="160" w:line="360" w:lineRule="auto"/>
        <w:jc w:val="right"/>
      </w:pPr>
      <w:r>
        <w:rPr>
          <w:rFonts w:ascii="Times New Roman" w:cs="Traditional Arabic" w:hAnsi="Times New Roman"/>
          <w:b/>
          <w:bCs/>
          <w:sz w:val="36"/>
          <w:szCs w:val="36"/>
          <w:rtl/>
        </w:rPr>
        <w:t xml:space="preserve">2.1 عصره وبيئته</w:t>
      </w:r>
    </w:p>
    <w:p>
      <w:pPr>
        <w:bidi/>
        <w:spacing w:after="40" w:before="0" w:line="360" w:lineRule="auto"/>
        <w:jc w:val="both"/>
      </w:pPr>
      <w:r>
        <w:rPr>
          <w:rFonts w:ascii="Times New Roman" w:cs="Traditional Arabic" w:hAnsi="Times New Roman"/>
          <w:b w:val="false"/>
          <w:sz w:val="32"/>
          <w:szCs w:val="32"/>
          <w:rtl/>
        </w:rPr>
        <w:t xml:space="preserve">وُلد المعرّي في النّصف الثّاني من القرن الرّابع الهجريّ، وقد فقدت الخلافة العبّاسيّة سلطانها الفعليّ؛ ووصف طه حسين سياسة العصر بحالتين: سلطة فعليّة للخلفاء قبل أبي العلاء، وسلطة اسميّة في عصره وما بعده</w:t>
      </w:r>
      <w:r>
        <w:rPr>
          <w:rStyle w:val="FootnoteReference"/>
        </w:rPr>
        <w:footnoteReference w:id="1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فقد تقاسم النّفوذَ البويهيّون في العراق والحمدانيّون في حلب والفاطميّون في مصر والشّام، وكانت معرّة النّعمان، بلد المعرّي، واقعة في منطقة تتجاذبها هذه القوى جميعًا.</w:t>
      </w:r>
    </w:p>
    <w:p>
      <w:pPr>
        <w:bidi/>
        <w:spacing w:after="40" w:before="0" w:line="360" w:lineRule="auto"/>
        <w:jc w:val="both"/>
      </w:pPr>
      <w:r>
        <w:rPr>
          <w:rFonts w:ascii="Times New Roman" w:cs="Traditional Arabic" w:hAnsi="Times New Roman"/>
          <w:b w:val="false"/>
          <w:sz w:val="32"/>
          <w:szCs w:val="32"/>
          <w:rtl/>
        </w:rPr>
        <w:t xml:space="preserve">أمّا اجتماعيًّا واقتصاديًّا فتُظهر نظرة عابرة إلى مجتمع أبي العلاء، كما تقول توحيدي فر، أنّه كان يعاني من مصاعب كثيرة: وضع سياسيّ واقتصاديّ في أسوإ حالاته، وتدنٍّ في القيم الدّينيّة، وتعدّد في المذاهب والفرق الّتي تجلب النّاس لمنافعها</w:t>
      </w:r>
      <w:r>
        <w:rPr>
          <w:rStyle w:val="FootnoteReference"/>
        </w:rPr>
        <w:footnoteReference w:id="1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ومع هذا الاضطراب كلّه ظلّت الحياة الثّقافيّة مزدهرة؛ فقد نبغ في هذه الأجواء نفسها شعراء مجيدون كان المعرّي من أكابرهم، وقامت في حلب وبغداد وغيرهما مجالس للعلم ودور للكتب كانت مقصد طلّاب المعرفة من الأقطار؛ وحسب حلب أنّ بلاط الحمدانيّين فيها جمع قبل ذلك بقليل أعلامًا من طراز المتنبّي والفارابيّ، فنشأ المعرّي في جوار هذا الإرث القريب</w:t>
      </w:r>
      <w:r>
        <w:rPr>
          <w:rStyle w:val="FootnoteReference"/>
        </w:rPr>
        <w:footnoteReference w:id="16"/>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ولهذه البيئة صلة مباشرة بموضوعنا: فكثرة الفرق المتنازعة وتوظيف الدّين والعلم في طلب المنافع وضعا أمام المعرّي معرضًا يوميًّا من التّناقض بين القول والعمل؛ فسخرية الغفران أقرب إلى ردّ فعل عقل دقيق الملاحظة على عصر كثير الادّعاء.</w:t>
      </w:r>
    </w:p>
    <w:p>
      <w:pPr>
        <w:pStyle w:val="Heading2"/>
        <w:keepNext/>
        <w:bidi/>
        <w:spacing w:after="80" w:before="160" w:line="360" w:lineRule="auto"/>
        <w:jc w:val="right"/>
      </w:pPr>
      <w:r>
        <w:rPr>
          <w:rFonts w:ascii="Times New Roman" w:cs="Traditional Arabic" w:hAnsi="Times New Roman"/>
          <w:b/>
          <w:bCs/>
          <w:sz w:val="36"/>
          <w:szCs w:val="36"/>
          <w:rtl/>
        </w:rPr>
        <w:t xml:space="preserve">2.2 حياته: من المعرّة إلى بغداد ثمّ العزلة</w:t>
      </w:r>
    </w:p>
    <w:p>
      <w:pPr>
        <w:bidi/>
        <w:spacing w:after="40" w:before="0" w:line="360" w:lineRule="auto"/>
        <w:jc w:val="both"/>
      </w:pPr>
      <w:r>
        <w:rPr>
          <w:rFonts w:ascii="Times New Roman" w:cs="Traditional Arabic" w:hAnsi="Times New Roman"/>
          <w:b w:val="false"/>
          <w:sz w:val="32"/>
          <w:szCs w:val="32"/>
          <w:rtl/>
        </w:rPr>
        <w:t xml:space="preserve">هو أحمد بن عبد الله بن سليمان التّنوخيّ، أبو العلاء، من أهل معرّة النّعمان في الشّام، وقد أفاض الجندي في وصف هذه البلدة ومكانتها وما قيل فيها من شعر</w:t>
      </w:r>
      <w:r>
        <w:rPr>
          <w:rStyle w:val="FootnoteReference"/>
        </w:rPr>
        <w:footnoteReference w:id="1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ولد سنة 363هـ، وأصيب بالجدريّ سنة 367هـ ففقد بصره بسببه، ونطق بالشّعر عندما بلغ الحادية عشرة من عمره، وأخذ علوم القراءات القرآنيّة بإسناد عن الشّيوخ، كما تعلّم الحديث في سنّ مبكّرة</w:t>
      </w:r>
      <w:r>
        <w:rPr>
          <w:rStyle w:val="FootnoteReference"/>
        </w:rPr>
        <w:footnoteReference w:id="18"/>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ورحل إلى بغداد سنة 398هـ وأقام فيها سنة وسبعة أشهر، خالط خلالها العلماء ودور الكتب، ثمّ عاد إلى بلده فلزم بيته وأغلق عليه بابه، فلم يسمح لغير طلّاب العلم بمخالطته. </w:t>
      </w:r>
      <w:r>
        <w:rPr>
          <w:rFonts w:ascii="Times New Roman" w:cs="Traditional Arabic" w:hAnsi="Times New Roman"/>
          <w:b w:val="false"/>
          <w:sz w:val="32"/>
          <w:szCs w:val="32"/>
          <w:rtl/>
        </w:rPr>
        <w:t xml:space="preserve">وهذا هو السّبب في تلقيبه بلقب "رهين المحبسين": محبس العمى ومحبس المنزل</w:t>
      </w:r>
      <w:r>
        <w:rPr>
          <w:rStyle w:val="FootnoteReference"/>
        </w:rPr>
        <w:footnoteReference w:id="1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أضاف هو محبسًا ثالثًا حين قال في لزوميّاته: "أراني في الثّلاثة من سجوني / فلا تسأل عن الخبر النّبيث // لفقدي ناظريّ ولزوم بيتي / وكون النّفس في الجسم الخبيث"</w:t>
      </w:r>
      <w:r>
        <w:rPr>
          <w:rStyle w:val="FootnoteReference"/>
        </w:rPr>
        <w:footnoteReference w:id="2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جعل طه حسين من هذه السّجون الثّلاثة مدخلًا لكتابه عن فلسفة الرّجل</w:t>
      </w:r>
      <w:r>
        <w:rPr>
          <w:rStyle w:val="FootnoteReference"/>
        </w:rPr>
        <w:footnoteReference w:id="2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أمّا أوفى ما جُمع من أخباره وآثاره فموسوعة محمّد سليم الجندي الّتي حقّقت ما كتب عنه وما نسب إليه وصحّحت كثيرًا من الأوهام الّتي وقع فيها المترجمون له</w:t>
      </w:r>
      <w:r>
        <w:rPr>
          <w:rStyle w:val="FootnoteReference"/>
        </w:rPr>
        <w:footnoteReference w:id="22"/>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ظلّ حبيسًا في بيته حتّى وفاته سنة 449هـ بمعرّة النّعمان، وقد أوصى أن يُكتب على قبره عبارة تلخّص فلسفته في الحياة: "هذا ما جناه أبي عليّ وما جنيت على أحد"، يقصد أنّ أباه بزواجه من أمّه أوقعه في دار الدّنيا. </w:t>
      </w:r>
      <w:r>
        <w:rPr>
          <w:rFonts w:ascii="Times New Roman" w:cs="Traditional Arabic" w:hAnsi="Times New Roman"/>
          <w:b w:val="false"/>
          <w:sz w:val="32"/>
          <w:szCs w:val="32"/>
          <w:rtl/>
        </w:rPr>
        <w:t xml:space="preserve">وقد وقف على قبره جمع غفير من أدباء عصره وشعرائه ورثَوه بثمانين مرثاة</w:t>
      </w:r>
      <w:r>
        <w:rPr>
          <w:rStyle w:val="FootnoteReference"/>
        </w:rPr>
        <w:footnoteReference w:id="2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واقتصر في مطعمه على النّبات ورفض التّكسّب بشعره ولم يتزوّج، إمعانًا في مذهبه الّذي لخّصته وصيّته. </w:t>
      </w:r>
      <w:r>
        <w:rPr>
          <w:rFonts w:ascii="Times New Roman" w:cs="Traditional Arabic" w:hAnsi="Times New Roman"/>
          <w:b w:val="false"/>
          <w:sz w:val="32"/>
          <w:szCs w:val="32"/>
          <w:rtl/>
        </w:rPr>
        <w:t xml:space="preserve">وليس هذا الزّهد تفصيلًا هامشيًّا؛ فالسّاخر الّذي لا يطلب جاهًا ولا مالًا يملك من حرّيّة القول ما لا يملكه المتكسّبون.</w:t>
      </w:r>
    </w:p>
    <w:p>
      <w:pPr>
        <w:bidi/>
        <w:spacing w:after="40" w:before="0" w:line="360" w:lineRule="auto"/>
        <w:jc w:val="both"/>
      </w:pPr>
      <w:r>
        <w:rPr>
          <w:rFonts w:ascii="Times New Roman" w:cs="Traditional Arabic" w:hAnsi="Times New Roman"/>
          <w:b w:val="false"/>
          <w:sz w:val="32"/>
          <w:szCs w:val="32"/>
          <w:rtl/>
        </w:rPr>
        <w:t xml:space="preserve">وكان أبو العلاء متوقّد الذّهن عجيب الحفظ؛ يروي شلتوت أنّه سمع كلامًا بالآذريّة في مجلسه فأعاده بحروفه من غير أن يفهم منه شيئًا</w:t>
      </w:r>
      <w:r>
        <w:rPr>
          <w:rStyle w:val="FootnoteReference"/>
        </w:rPr>
        <w:footnoteReference w:id="2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عند ياقوت الحمويّ صاحب صيت وشهرة بالعلم لغةً ونحوًا وفلسفةً، وجزالة في الكلام نثرًا وشعرًا</w:t>
      </w:r>
      <w:r>
        <w:rPr>
          <w:rStyle w:val="FootnoteReference"/>
        </w:rPr>
        <w:footnoteReference w:id="25"/>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2.3 ثقافته ومذهبه الفكريّ</w:t>
      </w:r>
    </w:p>
    <w:p>
      <w:pPr>
        <w:bidi/>
        <w:spacing w:after="40" w:before="0" w:line="360" w:lineRule="auto"/>
        <w:jc w:val="both"/>
      </w:pPr>
      <w:r>
        <w:rPr>
          <w:rFonts w:ascii="Times New Roman" w:cs="Traditional Arabic" w:hAnsi="Times New Roman"/>
          <w:b w:val="false"/>
          <w:sz w:val="32"/>
          <w:szCs w:val="32"/>
          <w:rtl/>
        </w:rPr>
        <w:t xml:space="preserve">جمع المعرّي ثقافة موسوعيّة قوامها اللّغة والشّعر والأخبار، وفلسفة جعلت بعض الدّارسين يعدّه مؤسّسًا للشّعر الفلسفيّ العربيّ؛ وهي عند توحيدي فر فلسفة يوميّة تتحسّس الشّؤون المتكرّرة في حياة البشر</w:t>
      </w:r>
      <w:r>
        <w:rPr>
          <w:rStyle w:val="FootnoteReference"/>
        </w:rPr>
        <w:footnoteReference w:id="2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وهو فيلسوف ما استخدم قدرته الشّعريّة في التّكسّب بالمال، بل استخدمها لبيان تساؤلاته العقليّة والفلسفيّة، وليست هذه التّساؤلات إلّا بيانًا لمشاكل ومفاسد مجتمع عاشه</w:t>
      </w:r>
      <w:r>
        <w:rPr>
          <w:rStyle w:val="FootnoteReference"/>
        </w:rPr>
        <w:footnoteReference w:id="2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واشتُهر بآراء أثارت الجدل وهاجمت تصوّرات معاصريه للدّين، حتّى اتّهمه كثيرون بالزّندقة؛ لكنّ بنت الشّاطئ تنفي عنه تلك التّهم، متّبعة خطوات أستاذها طه حسين الّذي وضع عنه غير كتاب وكان يرى نفسه إلى حدّ ما شبيهًا به</w:t>
      </w:r>
      <w:r>
        <w:rPr>
          <w:rStyle w:val="FootnoteReference"/>
        </w:rPr>
        <w:footnoteReference w:id="2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أخذنا بهذا الدّفاع أم لم نأخذ، فالثّابت أنّ الرّجل كان عقلًا ناقدًا لا يسلّم بالسّائد، وأنّ زهده في مطاعم الدّنيا ومكاسبها أعطى نقده صدقيّة يصعب الطّعن فيها. </w:t>
      </w:r>
      <w:r>
        <w:rPr>
          <w:rFonts w:ascii="Times New Roman" w:cs="Traditional Arabic" w:hAnsi="Times New Roman"/>
          <w:b w:val="false"/>
          <w:sz w:val="32"/>
          <w:szCs w:val="32"/>
          <w:rtl/>
        </w:rPr>
        <w:t xml:space="preserve">وللضّحك نفسه عنده حساب فلسفيّ يظهر في قوله من لزوميّاته: "ضحكنا وكان الضّحك منّا سفاهةً / وحقّ لسكّان البسيطة أن يبكوا"</w:t>
      </w:r>
      <w:r>
        <w:rPr>
          <w:rStyle w:val="FootnoteReference"/>
        </w:rPr>
        <w:footnoteReference w:id="29"/>
      </w:r>
      <w:r>
        <w:rPr>
          <w:rFonts w:ascii="Times New Roman" w:cs="Traditional Arabic" w:hAnsi="Times New Roman"/>
          <w:b w:val="false"/>
          <w:sz w:val="32"/>
          <w:szCs w:val="32"/>
          <w:rtl/>
        </w:rPr>
        <w:t xml:space="preserve">؛ فإذا كان الضّحك عنده سفاهة ثمّ اختار أن يبني أنضج نثره على الضّحك، فذلك وحده مفارقة تستحقّ الوقوف عندها.</w:t>
      </w:r>
    </w:p>
    <w:p>
      <w:pPr>
        <w:pStyle w:val="Heading2"/>
        <w:keepNext/>
        <w:bidi/>
        <w:spacing w:after="80" w:before="160" w:line="360" w:lineRule="auto"/>
        <w:jc w:val="right"/>
      </w:pPr>
      <w:r>
        <w:rPr>
          <w:rFonts w:ascii="Times New Roman" w:cs="Traditional Arabic" w:hAnsi="Times New Roman"/>
          <w:b/>
          <w:bCs/>
          <w:sz w:val="36"/>
          <w:szCs w:val="36"/>
          <w:rtl/>
        </w:rPr>
        <w:t xml:space="preserve">2.4 آثاره</w:t>
      </w:r>
    </w:p>
    <w:p>
      <w:pPr>
        <w:bidi/>
        <w:spacing w:after="40" w:before="0" w:line="360" w:lineRule="auto"/>
        <w:jc w:val="both"/>
      </w:pPr>
      <w:r>
        <w:rPr>
          <w:rFonts w:ascii="Times New Roman" w:cs="Traditional Arabic" w:hAnsi="Times New Roman"/>
          <w:b w:val="false"/>
          <w:sz w:val="32"/>
          <w:szCs w:val="32"/>
          <w:rtl/>
        </w:rPr>
        <w:t xml:space="preserve">خلّف المعرّي تراثًا ضخمًا شعرًا ونثرًا. </w:t>
      </w:r>
      <w:r>
        <w:rPr>
          <w:rFonts w:ascii="Times New Roman" w:cs="Traditional Arabic" w:hAnsi="Times New Roman"/>
          <w:b w:val="false"/>
          <w:sz w:val="32"/>
          <w:szCs w:val="32"/>
          <w:rtl/>
        </w:rPr>
        <w:t xml:space="preserve">أمّا شعره، وهو ديوان حكمته وفلسفته، فثلاثة أقسام: اللزوميّات، وسقط الزّند، وضوء السّقط</w:t>
      </w:r>
      <w:r>
        <w:rPr>
          <w:rStyle w:val="FootnoteReference"/>
        </w:rPr>
        <w:footnoteReference w:id="3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اللزوميّات، وهي أنضج شعره، ألزم نفسه في القافية ما لا يلزم، وضمّنها آراءه في الحياة والموت والنّاس والمعتقدات. </w:t>
      </w:r>
      <w:r>
        <w:rPr>
          <w:rFonts w:ascii="Times New Roman" w:cs="Traditional Arabic" w:hAnsi="Times New Roman"/>
          <w:b w:val="false"/>
          <w:sz w:val="32"/>
          <w:szCs w:val="32"/>
          <w:rtl/>
        </w:rPr>
        <w:t xml:space="preserve">وأمّا كتبه النّثريّة فكثيرة، فهرسها ياقوت في معجم الأدباء؛ ومن تصانيفه كتاب الأيك والغصون في الأدب يزيد على مئة جزء، وتاج الحرّة في النّساء وأخلاقهنّ وعظاتهنّ، وعبث الوليد شرح به ونقّد ديوان البحتريّ، ورسالة الملائكة، ورسالة الغفران، والفصول والغايات</w:t>
      </w:r>
      <w:r>
        <w:rPr>
          <w:rStyle w:val="FootnoteReference"/>
        </w:rPr>
        <w:footnoteReference w:id="31"/>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وتكشف هذه العناوين عن أمرين يهمّان بحثنا: أوّلهما أنّ الرّجل كان ناقدًا لغويًّا محترفًا يشرح الدّواوين ويناقشها، وثانيهما أنّ قالب الرّسالة كان عنده أداة تأليف كبرى لا مجرّد مكاتبة، فرسالة الملائكة ورسالة الغفران كتابان كاملان في صيغة رسالتين.</w:t>
      </w:r>
    </w:p>
    <w:p>
      <w:pPr>
        <w:bidi/>
        <w:spacing w:after="40" w:before="0" w:line="360" w:lineRule="auto"/>
        <w:jc w:val="both"/>
      </w:pPr>
      <w:r>
        <w:rPr>
          <w:rFonts w:ascii="Times New Roman" w:cs="Traditional Arabic" w:hAnsi="Times New Roman"/>
          <w:b w:val="false"/>
          <w:sz w:val="32"/>
          <w:szCs w:val="32"/>
          <w:rtl/>
        </w:rPr>
        <w:t xml:space="preserve">وقد تُرجم الكثير من شعره إلى غير العربيّة، وكتبه الّتي وصلتنا موضع عناية الدّارسين شرقًا وغربًا</w:t>
      </w:r>
      <w:r>
        <w:rPr>
          <w:rStyle w:val="FootnoteReference"/>
        </w:rPr>
        <w:footnoteReference w:id="3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وليست هذه العناية بمستغربة؛ فالمعرّي من ألمع الشّخصيّات في العصور الأدبيّة الّتي شهدها الأدب العربيّ، وليس من المبالغة تقرير أنّ شخصيّته من أكثر الشّخصيّات الأدبيّة في تاريخ الأدب العربيّ إثارة وثراءً وعمقًا، وقد أتاحت له سعة اطّلاعه وحدّة ذكائه أن ينفرد بصور أدبيّة وتصوّرات فكريّة لم تكن معروفة بين أدباء زمانه</w:t>
      </w:r>
      <w:r>
        <w:rPr>
          <w:rStyle w:val="FootnoteReference"/>
        </w:rPr>
        <w:footnoteReference w:id="33"/>
      </w:r>
      <w:r>
        <w:rPr>
          <w:rFonts w:ascii="Times New Roman" w:cs="Traditional Arabic" w:hAnsi="Times New Roman"/>
          <w:b w:val="false"/>
          <w:sz w:val="32"/>
          <w:szCs w:val="32"/>
          <w:rtl/>
        </w:rPr>
        <w:t xml:space="preserve">.</w:t>
      </w:r>
    </w:p>
    <w:p>
      <w:pPr>
        <w:pStyle w:val="Heading2"/>
        <w:keepNext/>
        <w:bidi/>
        <w:spacing w:after="80" w:before="160" w:line="360" w:lineRule="auto"/>
        <w:jc w:val="right"/>
      </w:pPr>
      <w:r>
        <w:rPr>
          <w:rFonts w:ascii="Times New Roman" w:cs="Traditional Arabic" w:hAnsi="Times New Roman"/>
          <w:b/>
          <w:bCs/>
          <w:sz w:val="36"/>
          <w:szCs w:val="36"/>
          <w:rtl/>
        </w:rPr>
        <w:t xml:space="preserve">2.5 رسالة الغفران: المناسبة والبناء</w:t>
      </w:r>
    </w:p>
    <w:p>
      <w:pPr>
        <w:bidi/>
        <w:spacing w:after="40" w:before="0" w:line="360" w:lineRule="auto"/>
        <w:jc w:val="both"/>
      </w:pPr>
      <w:r>
        <w:rPr>
          <w:rFonts w:ascii="Times New Roman" w:cs="Traditional Arabic" w:hAnsi="Times New Roman"/>
          <w:b w:val="false"/>
          <w:sz w:val="32"/>
          <w:szCs w:val="32"/>
          <w:rtl/>
        </w:rPr>
        <w:t xml:space="preserve">كان أبو العلاء في السّتّين من عمره حين أملى رسالة الغفران</w:t>
      </w:r>
      <w:r>
        <w:rPr>
          <w:rStyle w:val="FootnoteReference"/>
        </w:rPr>
        <w:footnoteReference w:id="34"/>
      </w:r>
      <w:r>
        <w:rPr>
          <w:rFonts w:ascii="Times New Roman" w:cs="Traditional Arabic" w:hAnsi="Times New Roman"/>
          <w:b w:val="false"/>
          <w:sz w:val="32"/>
          <w:szCs w:val="32"/>
          <w:rtl/>
        </w:rPr>
        <w:t xml:space="preserve">، وذلك ردًّا على رسالة بعث بها إليه عليّ بن منصور الحلبيّ المعروف بابن القارح. </w:t>
      </w:r>
      <w:r>
        <w:rPr>
          <w:rFonts w:ascii="Times New Roman" w:cs="Traditional Arabic" w:hAnsi="Times New Roman"/>
          <w:b w:val="false"/>
          <w:sz w:val="32"/>
          <w:szCs w:val="32"/>
          <w:rtl/>
        </w:rPr>
        <w:t xml:space="preserve">وابن القارح أديب لغويّ من أهل حلب، طوّف في الآفاق يطلب الرّزق بأدبه، واتّصل بالكبراء ثمّ ساءت حاله في آخر عمره، فكتب إلى المعرّي رسالة أطال فيها الثّناء عليه، وشكا زمانه، وأعلن توبته عمّا كان من أمره، وطعن في جماعة من الزّنادقة والملحدين، وعرض مسائل في اللّغة والدّين. </w:t>
      </w:r>
      <w:r>
        <w:rPr>
          <w:rFonts w:ascii="Times New Roman" w:cs="Traditional Arabic" w:hAnsi="Times New Roman"/>
          <w:b w:val="false"/>
          <w:sz w:val="32"/>
          <w:szCs w:val="32"/>
          <w:rtl/>
        </w:rPr>
        <w:t xml:space="preserve">وبدأ المعرّي ردّه بوصف رسالة ابن القارح كلمةً طيّبةً أصلها ثابت وفرعها في السّماء، ثمّ استرسل بخياله إلى رفع صاحبها إلى الجنّة بفضل كلماته الطّيّبة</w:t>
      </w:r>
      <w:r>
        <w:rPr>
          <w:rStyle w:val="FootnoteReference"/>
        </w:rPr>
        <w:footnoteReference w:id="35"/>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وتنقسم الرّسالة قسمين كبيرين: قسم الرّحلة، وفيه يتخيّل المعرّي ابن القارح وقد بُعث، فيطيل الوقوف في المحشر، ويحتال لدخول الجنّة، ثمّ يجول فيها وفي النّار محاورًا الشّعراء واللّغويّين؛ وقسم الرّدّ المباشر، وفيه يجيب المعرّي عن مسائل ابن القارح ويناقش توبته وأخباره. </w:t>
      </w:r>
      <w:r>
        <w:rPr>
          <w:rFonts w:ascii="Times New Roman" w:cs="Traditional Arabic" w:hAnsi="Times New Roman"/>
          <w:b w:val="false"/>
          <w:sz w:val="32"/>
          <w:szCs w:val="32"/>
          <w:rtl/>
        </w:rPr>
        <w:t xml:space="preserve">وقد جرت العادة عند الدّارسين على العناية بالقسم الأوّل خاصّة، لأنّه موضع الإبداع القصصيّ والسّخريّ.</w:t>
      </w:r>
    </w:p>
    <w:p>
      <w:pPr>
        <w:bidi/>
        <w:spacing w:after="40" w:before="0" w:line="360" w:lineRule="auto"/>
        <w:jc w:val="both"/>
      </w:pPr>
      <w:r>
        <w:rPr>
          <w:rFonts w:ascii="Times New Roman" w:cs="Traditional Arabic" w:hAnsi="Times New Roman"/>
          <w:b w:val="false"/>
          <w:sz w:val="32"/>
          <w:szCs w:val="32"/>
          <w:rtl/>
        </w:rPr>
        <w:t xml:space="preserve">والرّسالة قبل كلّ شيء نصّ فلسفيّ يتأمّل الوجود والحياة وضروب الإبداع، شاء المعرّي فيه، عبر الشّخصيّات الّتي يلتقيها ابن القارح، أن يعبّر عن تمزّقه هو بين إيمانه وشكّه ويأسه وأمله، متسائلًا عن مكان الإنسان في هذا الكون</w:t>
      </w:r>
      <w:r>
        <w:rPr>
          <w:rStyle w:val="FootnoteReference"/>
        </w:rPr>
        <w:footnoteReference w:id="3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فمن ناحية تكشف الرّسالة عن مؤمن يعيش إيمانه بكلّ جوارحه، وعن شكّاك لا يرى فائدة في الصّورة الّتي يصنعها المتكلّمون للدّين</w:t>
      </w:r>
      <w:r>
        <w:rPr>
          <w:rStyle w:val="FootnoteReference"/>
        </w:rPr>
        <w:footnoteReference w:id="3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طبعت الرّسالة عدّة مرّات كان من أهمّها النّسخة المحقّقة الّتي أنجزتها بنت الشّاطئ وصدّرتها بدراسة وافية مع تحقيق لرسالة ابن القارح الّتي تمثّل المفتاح لفهم رسالة الغفران</w:t>
      </w:r>
      <w:r>
        <w:rPr>
          <w:rStyle w:val="FootnoteReference"/>
        </w:rPr>
        <w:footnoteReference w:id="3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وذاع صيت الرّسالة خارج العربيّة أيضًا: فقد عرّف المستشرق الإنجليزيّ نيكلسون القارئ الأوروبيّ بأبي العلاء وأدبه</w:t>
      </w:r>
      <w:r>
        <w:rPr>
          <w:rStyle w:val="FootnoteReference"/>
        </w:rPr>
        <w:footnoteReference w:id="39"/>
      </w:r>
      <w:r>
        <w:rPr>
          <w:rFonts w:ascii="Times New Roman" w:cs="Traditional Arabic" w:hAnsi="Times New Roman"/>
          <w:b w:val="false"/>
          <w:sz w:val="32"/>
          <w:szCs w:val="32"/>
          <w:rtl/>
        </w:rPr>
        <w:t xml:space="preserve">، وترجمت الرّسالة كاملة إلى الإنجليزيّة في العقد الماضي</w:t>
      </w:r>
      <w:r>
        <w:rPr>
          <w:rStyle w:val="FootnoteReference"/>
        </w:rPr>
        <w:footnoteReference w:id="40"/>
      </w:r>
      <w:r>
        <w:rPr>
          <w:rFonts w:ascii="Times New Roman" w:cs="Traditional Arabic" w:hAnsi="Times New Roman"/>
          <w:b w:val="false"/>
          <w:sz w:val="32"/>
          <w:szCs w:val="32"/>
          <w:rtl/>
        </w:rPr>
        <w:t xml:space="preserve">. </w:t>
      </w:r>
    </w:p>
    <w:p>
      <w:pPr>
        <w:bidi/>
        <w:spacing w:after="40" w:before="0" w:line="360" w:lineRule="auto"/>
        <w:jc w:val="both"/>
      </w:pPr>
      <w:r>
        <w:rPr>
          <w:rFonts w:ascii="Times New Roman" w:cs="Traditional Arabic" w:hAnsi="Times New Roman"/>
          <w:b w:val="false"/>
          <w:sz w:val="32"/>
          <w:szCs w:val="32"/>
          <w:rtl/>
        </w:rPr>
        <w:t xml:space="preserve">وذهب دارسون إلى أنّ الكوميديا الإلهيّة لدانتي تلتقي معها في الفكرة وكثير من التّفاصيل، وقد خصّص عماد أبو رحمة دراسة نصّيّة مقارنة للتحقّق من صدق دعوى العلاقة بين العملين بالاعتماد على تفحّص النّصّين من الدّاخل لا على الوقائع التّاريخيّة وحدها</w:t>
      </w:r>
      <w:r>
        <w:rPr>
          <w:rStyle w:val="FootnoteReference"/>
        </w:rPr>
        <w:footnoteReference w:id="4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وأيًّا كان الرّأي في هذه العلاقة، فإنّ مجرّد قيام المقارنة شاهد على المكانة الّتي بلغها هذا النّصّ.</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الفصل الثّالث: مظاهر السّخرية في رسالة الغفران</w:t>
      </w:r>
    </w:p>
    <w:p>
      <w:pPr>
        <w:pStyle w:val="Heading2"/>
        <w:keepNext/>
        <w:bidi/>
        <w:spacing w:after="80" w:before="160" w:line="360" w:lineRule="auto"/>
        <w:jc w:val="right"/>
      </w:pPr>
      <w:r>
        <w:rPr>
          <w:rFonts w:ascii="Times New Roman" w:cs="Traditional Arabic" w:hAnsi="Times New Roman"/>
          <w:b/>
          <w:bCs/>
          <w:sz w:val="36"/>
          <w:szCs w:val="36"/>
          <w:rtl/>
        </w:rPr>
        <w:t xml:space="preserve">3.1 في مفهوم السّخرية</w:t>
      </w:r>
    </w:p>
    <w:p>
      <w:pPr>
        <w:bidi/>
        <w:spacing w:after="40" w:before="0" w:line="360" w:lineRule="auto"/>
        <w:jc w:val="both"/>
      </w:pPr>
      <w:r>
        <w:rPr>
          <w:rFonts w:ascii="Times New Roman" w:cs="Traditional Arabic" w:hAnsi="Times New Roman"/>
          <w:b w:val="false"/>
          <w:sz w:val="32"/>
          <w:szCs w:val="32"/>
          <w:rtl/>
        </w:rPr>
        <w:t xml:space="preserve">السّخرية في اللّغة من سخِر منه وبه: هزئ به؛ وقد ربطت حنان بن قيراط معناها اللّغويّ، كما يظهر في المعاجم، بالضّحك والاستهزاء بمن قلّ قدره</w:t>
      </w:r>
      <w:r>
        <w:rPr>
          <w:rStyle w:val="FootnoteReference"/>
        </w:rPr>
        <w:footnoteReference w:id="4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وهي في الاصطلاح الأدبيّ طريقة من طرق التّعبير يستعمل فيها الكاتب ألفاظًا تقلب المعنى إلى عكس ما يقصده حقيقةً، فيمدح وهو يذمّ، ويجاري وهو يعارض</w:t>
      </w:r>
      <w:r>
        <w:rPr>
          <w:rStyle w:val="FootnoteReference"/>
        </w:rPr>
        <w:footnoteReference w:id="43"/>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وبهذا تفترق السّخرية عن الهجاء الصّريح: فالهجّاء يواجه خصمه بالقبيح مواجهةً، أمّا السّاخر فيداور ويواري، ويترك للقارئ لذّة اكتشاف المفارقة بنفسه.</w:t>
      </w:r>
    </w:p>
    <w:p>
      <w:pPr>
        <w:bidi/>
        <w:spacing w:after="40" w:before="0" w:line="360" w:lineRule="auto"/>
        <w:jc w:val="both"/>
      </w:pPr>
      <w:r>
        <w:rPr>
          <w:rFonts w:ascii="Times New Roman" w:cs="Traditional Arabic" w:hAnsi="Times New Roman"/>
          <w:b w:val="false"/>
          <w:sz w:val="32"/>
          <w:szCs w:val="32"/>
          <w:rtl/>
        </w:rPr>
        <w:t xml:space="preserve">وليست السّخرية طارئة على الأدب العربيّ؛ فقد عرفها الهجاء الجاهليّ، وبلغت في نثر الجاحظ ذروة مبكّرة في البخلاء والتّربيع والتّدوير، حيث تتولّد الفكاهة من رسم الشّخصيّات لا من الشّتم؛ وقد رصد نعمان طه هذا الخطّ الممتدّ</w:t>
      </w:r>
      <w:r>
        <w:rPr>
          <w:rStyle w:val="FootnoteReference"/>
        </w:rPr>
        <w:footnoteReference w:id="44"/>
      </w:r>
      <w:r>
        <w:rPr>
          <w:rFonts w:ascii="Times New Roman" w:cs="Traditional Arabic" w:hAnsi="Times New Roman"/>
          <w:b w:val="false"/>
          <w:sz w:val="32"/>
          <w:szCs w:val="32"/>
          <w:rtl/>
        </w:rPr>
        <w:t xml:space="preserve">، وجاء المعرّي وريثًا لهذا التّقليد ومجدّدًا فيه: نقل السّخرية من مجالس الأرض إلى ساحة الآخرة نفسها.</w:t>
      </w:r>
    </w:p>
    <w:p>
      <w:pPr>
        <w:bidi/>
        <w:spacing w:after="40" w:before="0" w:line="360" w:lineRule="auto"/>
        <w:jc w:val="both"/>
      </w:pPr>
      <w:r>
        <w:rPr>
          <w:rFonts w:ascii="Times New Roman" w:cs="Traditional Arabic" w:hAnsi="Times New Roman"/>
          <w:b w:val="false"/>
          <w:sz w:val="32"/>
          <w:szCs w:val="32"/>
          <w:rtl/>
        </w:rPr>
        <w:t xml:space="preserve">وتتميّز السّخرية من جارتيها: فالفكاهة إضحاك بريء لا يستهدف أحدًا، والهجاء عدوان مكشوف يسمّي خصمه، أمّا السّخرية فبينهما: فيها قصد النّقد وآليّة الإضحاك معًا، لكنّها تعمل بالإيحاء والمواربة؛ ولذلك كثيرًا ما كانت سلاح العقول الكبيرة المقيّدة، تتيح قول الخطر في صورة المباح. </w:t>
      </w:r>
      <w:r>
        <w:rPr>
          <w:rFonts w:ascii="Times New Roman" w:cs="Traditional Arabic" w:hAnsi="Times New Roman"/>
          <w:b w:val="false"/>
          <w:sz w:val="32"/>
          <w:szCs w:val="32"/>
          <w:rtl/>
        </w:rPr>
        <w:t xml:space="preserve">ومن هنا كان اختيارها مطابقًا لموقع المعرّي: رجل يرى ما لا يراه معاصروه، ولا يملك أن يقوله كلّه صراحةً.</w:t>
      </w:r>
    </w:p>
    <w:p>
      <w:pPr>
        <w:pStyle w:val="Heading2"/>
        <w:keepNext/>
        <w:bidi/>
        <w:spacing w:after="80" w:before="160" w:line="360" w:lineRule="auto"/>
        <w:jc w:val="right"/>
      </w:pPr>
      <w:r>
        <w:rPr>
          <w:rFonts w:ascii="Times New Roman" w:cs="Traditional Arabic" w:hAnsi="Times New Roman"/>
          <w:b/>
          <w:bCs/>
          <w:sz w:val="36"/>
          <w:szCs w:val="36"/>
          <w:rtl/>
        </w:rPr>
        <w:t xml:space="preserve">3.2 دوافع السّخرية عند المعرّي: لماذا ألّف الغفران ساخرةً؟</w:t>
      </w:r>
    </w:p>
    <w:p>
      <w:pPr>
        <w:bidi/>
        <w:spacing w:after="40" w:before="0" w:line="360" w:lineRule="auto"/>
        <w:jc w:val="both"/>
      </w:pPr>
      <w:r>
        <w:rPr>
          <w:rFonts w:ascii="Times New Roman" w:cs="Traditional Arabic" w:hAnsi="Times New Roman"/>
          <w:b w:val="false"/>
          <w:sz w:val="32"/>
          <w:szCs w:val="32"/>
          <w:rtl/>
        </w:rPr>
        <w:t xml:space="preserve">في الظّاهر أنّ رسالة الغفران ردّ على رسالة ابن القارح، غير أنّ أبا العلاء، كما يقول شلتوت، جعل الرّدّ معرِضًا للسّخرية من ابن القارح، ووسيلة لاستعراض مخزونه من التّراث الأدبيّ واللّغويّ والشّعريّ</w:t>
      </w:r>
      <w:r>
        <w:rPr>
          <w:rStyle w:val="FootnoteReference"/>
        </w:rPr>
        <w:footnoteReference w:id="4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فالباعث الأوّل شخصيّ نقديّ: رجل يتملّق ويعلن توبة مشكوكًا في صدقها، فيكافئه المعرّي بردّ يظاهره التّرحيب ويبطن الامتحان.</w:t>
      </w:r>
    </w:p>
    <w:p>
      <w:pPr>
        <w:bidi/>
        <w:spacing w:after="40" w:before="0" w:line="360" w:lineRule="auto"/>
        <w:jc w:val="both"/>
      </w:pPr>
      <w:r>
        <w:rPr>
          <w:rFonts w:ascii="Times New Roman" w:cs="Traditional Arabic" w:hAnsi="Times New Roman"/>
          <w:b w:val="false"/>
          <w:sz w:val="32"/>
          <w:szCs w:val="32"/>
          <w:rtl/>
        </w:rPr>
        <w:t xml:space="preserve">وثمّة باعث أوسع: نقد العصر. </w:t>
      </w:r>
      <w:r>
        <w:rPr>
          <w:rFonts w:ascii="Times New Roman" w:cs="Traditional Arabic" w:hAnsi="Times New Roman"/>
          <w:b w:val="false"/>
          <w:sz w:val="32"/>
          <w:szCs w:val="32"/>
          <w:rtl/>
        </w:rPr>
        <w:t xml:space="preserve">فقد عُرف المعرّي بنقده لعصره بأسلوب ساخر يلمح به إلى حالة من عصره عن طريق أفعال الشّخصيّات أو المكان</w:t>
      </w:r>
      <w:r>
        <w:rPr>
          <w:rStyle w:val="FootnoteReference"/>
        </w:rPr>
        <w:footnoteReference w:id="4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فالجنّة في الرّسالة ليست موضوعًا دينيًّا خالصًا بقدر ما هي مرآة مقلوبة يرى فيها القارئ مجالس الأدباء في الدّنيا بمنافساتها الصّغيرة وأهوائها.</w:t>
      </w:r>
    </w:p>
    <w:p>
      <w:pPr>
        <w:bidi/>
        <w:spacing w:after="40" w:before="0" w:line="360" w:lineRule="auto"/>
        <w:jc w:val="both"/>
      </w:pPr>
      <w:r>
        <w:rPr>
          <w:rFonts w:ascii="Times New Roman" w:cs="Traditional Arabic" w:hAnsi="Times New Roman"/>
          <w:b w:val="false"/>
          <w:sz w:val="32"/>
          <w:szCs w:val="32"/>
          <w:rtl/>
        </w:rPr>
        <w:t xml:space="preserve">وأضافت بنت الشّاطئ بعدًا نفسيًّا؛ إذ رأت أنّ الرّسالة تعبّر عن أمانيه الموؤودة، وأنّها مشحونة بأصداء أشواقه المكبوتة وصليل القيود الّتي كبّلت نفسه بالحرمان الباهظ</w:t>
      </w:r>
      <w:r>
        <w:rPr>
          <w:rStyle w:val="FootnoteReference"/>
        </w:rPr>
        <w:footnoteReference w:id="47"/>
      </w:r>
      <w:r>
        <w:rPr>
          <w:rFonts w:ascii="Times New Roman" w:cs="Traditional Arabic" w:hAnsi="Times New Roman"/>
          <w:b w:val="false"/>
          <w:sz w:val="32"/>
          <w:szCs w:val="32"/>
          <w:rtl/>
        </w:rPr>
        <w:t xml:space="preserve">، وأنّ صائم الدّهر الّذي حرم نفسه لذّات الدّنيا ملأ جنّته بالخمر والنّساء وتفنّن في حشد صنوف من اللذائذ الحسّيّة والشّهوات المصوّرة</w:t>
      </w:r>
      <w:r>
        <w:rPr>
          <w:rStyle w:val="FootnoteReference"/>
        </w:rPr>
        <w:footnoteReference w:id="4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وسواء صحّ هذا التّأويل أم كان فيه من الإسقاط شيء، فإنّه يفسّر حرارة الوصف الحسّيّ الّذي تقوم عليه مبالغات الرّسالة السّاخرة.</w:t>
      </w:r>
    </w:p>
    <w:p>
      <w:pPr>
        <w:pStyle w:val="Heading2"/>
        <w:keepNext/>
        <w:bidi/>
        <w:spacing w:after="80" w:before="160" w:line="360" w:lineRule="auto"/>
        <w:jc w:val="right"/>
      </w:pPr>
      <w:r>
        <w:rPr>
          <w:rFonts w:ascii="Times New Roman" w:cs="Traditional Arabic" w:hAnsi="Times New Roman"/>
          <w:b/>
          <w:bCs/>
          <w:sz w:val="36"/>
          <w:szCs w:val="36"/>
          <w:rtl/>
        </w:rPr>
        <w:t xml:space="preserve">3.3 موضوعات السّخرية: ممّن يسخر المعرّي وممّ يسخر؟</w:t>
      </w:r>
    </w:p>
    <w:p>
      <w:pPr>
        <w:pStyle w:val="Heading3"/>
        <w:keepNext/>
        <w:bidi/>
        <w:spacing w:after="60" w:before="120" w:line="360" w:lineRule="auto"/>
        <w:jc w:val="right"/>
      </w:pPr>
      <w:r>
        <w:rPr>
          <w:rFonts w:ascii="Times New Roman" w:cs="Traditional Arabic" w:hAnsi="Times New Roman"/>
          <w:b/>
          <w:bCs/>
          <w:sz w:val="32"/>
          <w:szCs w:val="32"/>
          <w:rtl/>
        </w:rPr>
        <w:t xml:space="preserve">أ. السّخرية من ابن القارح</w:t>
      </w:r>
    </w:p>
    <w:p>
      <w:pPr>
        <w:bidi/>
        <w:spacing w:after="40" w:before="0" w:line="360" w:lineRule="auto"/>
        <w:jc w:val="both"/>
      </w:pPr>
      <w:r>
        <w:rPr>
          <w:rFonts w:ascii="Times New Roman" w:cs="Traditional Arabic" w:hAnsi="Times New Roman"/>
          <w:b w:val="false"/>
          <w:sz w:val="32"/>
          <w:szCs w:val="32"/>
          <w:rtl/>
        </w:rPr>
        <w:t xml:space="preserve">ابن القارح هو الهدف الأوّل والأظهر. </w:t>
      </w:r>
      <w:r>
        <w:rPr>
          <w:rFonts w:ascii="Times New Roman" w:cs="Traditional Arabic" w:hAnsi="Times New Roman"/>
          <w:b w:val="false"/>
          <w:sz w:val="32"/>
          <w:szCs w:val="32"/>
          <w:rtl/>
        </w:rPr>
        <w:t xml:space="preserve">فقد جعل المعرّي ابتداء كلامه ترحيبًا بتوبته آخذًا الرّجل على ظاهره، مضمرًا الإشارة إلى ماضيه في الزّندقة، وجعل توبته موضع شكّ في إدخاله الجنّة، فلم يدخل إلّا بشفاعة موكب فاطمة، ممّا يعني تذكيره بما كان عليه من اعتقاد يبنى على حسن الظّنّ في الظّاهر وسوءٍ في الباطن، وكأنّ أبا العلاء يقول: وهل يُصدَّق رجل في توبته وقد قضى عمره يكذب ويتحرّى الكذب ويعد ويخلف؟</w:t>
      </w:r>
      <w:r>
        <w:rPr>
          <w:rStyle w:val="FootnoteReference"/>
        </w:rPr>
        <w:footnoteReference w:id="49"/>
      </w:r>
    </w:p>
    <w:p>
      <w:pPr>
        <w:bidi/>
        <w:spacing w:after="40" w:before="0" w:line="360" w:lineRule="auto"/>
        <w:jc w:val="both"/>
      </w:pPr>
      <w:r>
        <w:rPr>
          <w:rFonts w:ascii="Times New Roman" w:cs="Traditional Arabic" w:hAnsi="Times New Roman"/>
          <w:b w:val="false"/>
          <w:sz w:val="32"/>
          <w:szCs w:val="32"/>
          <w:rtl/>
        </w:rPr>
        <w:t xml:space="preserve">وتتوالى في قسم الرّحلة مشاهد تجعل من الشّيخ الحلبيّ مادّة للضّحك: يطول وقوفه في المحشر فيفكّر في التّوسّل بالشّعر، وينظم قصيدة في مدح رضوان خازن الجنّة فلا يلتفت إليه، لأنّ الملائكة لا تعرف الشّعراء ولا ينفع عندها المديح، ثمّ لا يعبر الصّراط إلّا متعثّرًا متقلّبًا حتّى يُعان على العبور، ويدخل الجنّة أخيرًا بصكّ توبة انتُزع انتزاعًا بالشّفاعات</w:t>
      </w:r>
      <w:r>
        <w:rPr>
          <w:rStyle w:val="FootnoteReference"/>
        </w:rPr>
        <w:footnoteReference w:id="50"/>
      </w:r>
      <w:r>
        <w:rPr>
          <w:rFonts w:ascii="Times New Roman" w:cs="Traditional Arabic" w:hAnsi="Times New Roman"/>
          <w:b w:val="false"/>
          <w:sz w:val="32"/>
          <w:szCs w:val="32"/>
          <w:rtl/>
        </w:rPr>
        <w:t xml:space="preserve">. </w:t>
      </w:r>
    </w:p>
    <w:p>
      <w:pPr>
        <w:bidi/>
        <w:spacing w:after="40" w:before="0" w:line="360" w:lineRule="auto"/>
        <w:jc w:val="both"/>
      </w:pPr>
      <w:r>
        <w:rPr>
          <w:rFonts w:ascii="Times New Roman" w:cs="Traditional Arabic" w:hAnsi="Times New Roman"/>
          <w:b w:val="false"/>
          <w:sz w:val="32"/>
          <w:szCs w:val="32"/>
          <w:rtl/>
        </w:rPr>
        <w:t xml:space="preserve">ولننظر في النّصّ نفسه: يقف ابن القارح بباب الجنّة فيقول لرضوان: "أنا رجل لا صبر لي على العطش، وقد استطلت مدّة الحساب، ومعي صكّ بالتّوبة... </w:t>
      </w:r>
      <w:r>
        <w:rPr>
          <w:rFonts w:ascii="Times New Roman" w:cs="Traditional Arabic" w:hAnsi="Times New Roman"/>
          <w:b w:val="false"/>
          <w:sz w:val="32"/>
          <w:szCs w:val="32"/>
          <w:rtl/>
        </w:rPr>
        <w:t xml:space="preserve">وقد مدحتك بأشعار كثيرة، ووسمتها باسمك"</w:t>
      </w:r>
      <w:r>
        <w:rPr>
          <w:rStyle w:val="FootnoteReference"/>
        </w:rPr>
        <w:footnoteReference w:id="51"/>
      </w:r>
      <w:r>
        <w:rPr>
          <w:rFonts w:ascii="Times New Roman" w:cs="Traditional Arabic" w:hAnsi="Times New Roman"/>
          <w:b w:val="false"/>
          <w:sz w:val="32"/>
          <w:szCs w:val="32"/>
          <w:rtl/>
        </w:rPr>
        <w:t xml:space="preserve">، فيأتيه الجواب الّذي يهدم صنعة العمر كلّه: "وما الأشعار؟"</w:t>
      </w:r>
      <w:r>
        <w:rPr>
          <w:rStyle w:val="FootnoteReference"/>
        </w:rPr>
        <w:footnoteReference w:id="5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فالملاك لا يجهل قصيدة المديح وحدها بل يجهل الشّعر أصلًا، فيضطرّ الأديب إلى تعريفه له، معترفًا من حيث لا يقصد بأنّ أهل العاجلة كانوا يتقرّبون به إلى الملوك والسّادات؛ أي أنّ المديح رشوة مقنّعة. </w:t>
      </w:r>
    </w:p>
    <w:p>
      <w:pPr>
        <w:bidi/>
        <w:spacing w:after="40" w:before="0" w:line="360" w:lineRule="auto"/>
        <w:jc w:val="both"/>
      </w:pPr>
      <w:r>
        <w:rPr>
          <w:rFonts w:ascii="Times New Roman" w:cs="Traditional Arabic" w:hAnsi="Times New Roman"/>
          <w:b w:val="false"/>
          <w:sz w:val="32"/>
          <w:szCs w:val="32"/>
          <w:rtl/>
        </w:rPr>
        <w:t xml:space="preserve">ثمّ يعود فيجرّب الحيلة نفسها مع حمزة بن عبد المطّلب قائلًا لنفسه "الكذوب" إنّ الشّعر عند هذا أنفق</w:t>
      </w:r>
      <w:r>
        <w:rPr>
          <w:rStyle w:val="FootnoteReference"/>
        </w:rPr>
        <w:footnoteReference w:id="53"/>
      </w:r>
      <w:r>
        <w:rPr>
          <w:rFonts w:ascii="Times New Roman" w:cs="Traditional Arabic" w:hAnsi="Times New Roman"/>
          <w:b w:val="false"/>
          <w:sz w:val="32"/>
          <w:szCs w:val="32"/>
          <w:rtl/>
        </w:rPr>
        <w:t xml:space="preserve">؛ فتتضاعف السّخرية: الرّجل لا يتعلّم من فشله، لأنّ التّملّق عنده طبع لا حيلة. </w:t>
      </w:r>
      <w:r>
        <w:rPr>
          <w:rFonts w:ascii="Times New Roman" w:cs="Traditional Arabic" w:hAnsi="Times New Roman"/>
          <w:b w:val="false"/>
          <w:sz w:val="32"/>
          <w:szCs w:val="32"/>
          <w:rtl/>
        </w:rPr>
        <w:t xml:space="preserve">ويبدو أنّ فكرة الأديب المحترف الّذي يظنّ أنّ المديح عملة تشترى بها المنافع حتّى في الآخرة تقع في صميم السّخرية هنا: فما ينفع في بلاطات الدّنيا لا يساوي شيئًا أمام ملائكة لا تحفظ الشّعر.</w:t>
      </w:r>
    </w:p>
    <w:p>
      <w:pPr>
        <w:bidi/>
        <w:spacing w:after="40" w:before="0" w:line="360" w:lineRule="auto"/>
        <w:jc w:val="both"/>
      </w:pPr>
      <w:r>
        <w:rPr>
          <w:rFonts w:ascii="Times New Roman" w:cs="Traditional Arabic" w:hAnsi="Times New Roman"/>
          <w:b w:val="false"/>
          <w:sz w:val="32"/>
          <w:szCs w:val="32"/>
          <w:rtl/>
        </w:rPr>
        <w:t xml:space="preserve">ثمّ إنّ المعرّي لا يكتفي بإحراج ابن القارح في مواقف الرّحلة، بل يجعله هو نفسه راويًا لفضائحه: فالشّيخ يقصّ في الجنّة كيف كان يتقرّب ويتوسّل، ويسأل أهل الجنّة عن أسباب غفرانهم سؤال الحريص على أن يتعلّم طرق النّجاة بأقلّ كلفة. </w:t>
      </w:r>
      <w:r>
        <w:rPr>
          <w:rFonts w:ascii="Times New Roman" w:cs="Traditional Arabic" w:hAnsi="Times New Roman"/>
          <w:b w:val="false"/>
          <w:sz w:val="32"/>
          <w:szCs w:val="32"/>
          <w:rtl/>
        </w:rPr>
        <w:t xml:space="preserve">وحين يهتزّ طربًا بين اللذائذ ويقبل على الأكل والشّرب إقبال المحروم يكتمل الرّسم السّاخر: هذا تائب لم تتغيّر في الآخرة طباعه الدّنيويّة شيئًا</w:t>
      </w:r>
      <w:r>
        <w:rPr>
          <w:rStyle w:val="FootnoteReference"/>
        </w:rPr>
        <w:footnoteReference w:id="5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وليس شيء من هذا شتمًا؛ فالمعرّي لا يصف ابن القارح بقبيح قطّ، وإنّما يدعه يتحرّك أمام القارئ حتّى يضحك القارئ منه بنفسه. </w:t>
      </w:r>
      <w:r>
        <w:rPr>
          <w:rFonts w:ascii="Times New Roman" w:cs="Traditional Arabic" w:hAnsi="Times New Roman"/>
          <w:b w:val="false"/>
          <w:sz w:val="32"/>
          <w:szCs w:val="32"/>
          <w:rtl/>
        </w:rPr>
        <w:t xml:space="preserve">ولعلّ هذا من أرقى درجات الفنّ السّاخر.</w:t>
      </w:r>
    </w:p>
    <w:p>
      <w:pPr>
        <w:pStyle w:val="Heading3"/>
        <w:keepNext/>
        <w:bidi/>
        <w:spacing w:after="60" w:before="120" w:line="360" w:lineRule="auto"/>
        <w:jc w:val="right"/>
      </w:pPr>
      <w:r>
        <w:rPr>
          <w:rFonts w:ascii="Times New Roman" w:cs="Traditional Arabic" w:hAnsi="Times New Roman"/>
          <w:b/>
          <w:bCs/>
          <w:sz w:val="32"/>
          <w:szCs w:val="32"/>
          <w:rtl/>
        </w:rPr>
        <w:t xml:space="preserve">ب. السّخرية من الشّعراء والرّواة واللّغويّين</w:t>
      </w:r>
    </w:p>
    <w:p>
      <w:pPr>
        <w:bidi/>
        <w:spacing w:after="40" w:before="0" w:line="360" w:lineRule="auto"/>
        <w:jc w:val="both"/>
      </w:pPr>
      <w:r>
        <w:rPr>
          <w:rFonts w:ascii="Times New Roman" w:cs="Traditional Arabic" w:hAnsi="Times New Roman"/>
          <w:b w:val="false"/>
          <w:sz w:val="32"/>
          <w:szCs w:val="32"/>
          <w:rtl/>
        </w:rPr>
        <w:t xml:space="preserve">ينتقل المعرّي بابن القارح إلى مجالس الجنّة فإذا الشّعراء الجاهليّون والإسلاميّون هناك، وإذا مسائل الغفران نفسها تجري مجرى الطّرافة: فزهير بن أبي سلمى يخبر ابن القارح أنّه غُفر له ببيته الّذي يقول فيه: "فلا تكتُمُنَّ اللهَ ما في نفوسِكم / ليَخفى ومهما يُكتَمِ اللهُ يعلمِ"</w:t>
      </w:r>
      <w:r>
        <w:rPr>
          <w:rStyle w:val="FootnoteReference"/>
        </w:rPr>
        <w:footnoteReference w:id="55"/>
      </w:r>
      <w:r>
        <w:rPr>
          <w:rFonts w:ascii="Times New Roman" w:cs="Traditional Arabic" w:hAnsi="Times New Roman"/>
          <w:b w:val="false"/>
          <w:sz w:val="32"/>
          <w:szCs w:val="32"/>
          <w:rtl/>
        </w:rPr>
        <w:t xml:space="preserve">، والأعشى ميمون بن قيس يقصّ كيف مُنّ عليه بالغفران بعدما صار من جهنّم على شفير، ثمّ هو مع ذلك محروم من خمر الجنّة لأنّ الحجّة أدركته بتحريمها</w:t>
      </w:r>
      <w:r>
        <w:rPr>
          <w:rStyle w:val="FootnoteReference"/>
        </w:rPr>
        <w:footnoteReference w:id="56"/>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وتتحوّل الجنّة إلى ندوة أدبيّة كبرى يسأل فيها ابن القارح أهلَها عن دواوينهم ورواياتها، ويحاورهم في مسائل اللّغة والعروض، وكأنّ النّعيم الأكبر عند هؤلاء جميعًا هو مواصلة الجدل اللّغويّ الّذي شغلهم في الدّنيا</w:t>
      </w:r>
      <w:r>
        <w:rPr>
          <w:rStyle w:val="FootnoteReference"/>
        </w:rPr>
        <w:footnoteReference w:id="57"/>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وفي هذه المحاورات نقد مبطّن لصناعة الرّواية والانتحال: فآدم ينكر الشّعر المنسوب إليه، ويلتقي ابن القارح في جنّة العفاريت بشيخ الجنّ أبي هدرش فيسمع من أشعار الجنّ ما لم تروه الرّواة، في تهكّم واضح بمن يروون للجنّ شعرًا ويحتجّون به</w:t>
      </w:r>
      <w:r>
        <w:rPr>
          <w:rStyle w:val="FootnoteReference"/>
        </w:rPr>
        <w:footnoteReference w:id="58"/>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فالمعرّي هنا يستخدم القصّ الخياليّ ليقول ما قد يكلّفه التّصريح به كثيرًا: إنّ بعض ما يتناقله الرّواة موضوع مصنوع، وإنّ مقاييس التّوثيق عند اللّغويّين تحتاج هي نفسها إلى مساءلة.</w:t>
      </w:r>
    </w:p>
    <w:p>
      <w:pPr>
        <w:bidi/>
        <w:spacing w:after="40" w:before="0" w:line="360" w:lineRule="auto"/>
        <w:jc w:val="both"/>
      </w:pPr>
      <w:r>
        <w:rPr>
          <w:rFonts w:ascii="Times New Roman" w:cs="Traditional Arabic" w:hAnsi="Times New Roman"/>
          <w:b w:val="false"/>
          <w:sz w:val="32"/>
          <w:szCs w:val="32"/>
          <w:rtl/>
        </w:rPr>
        <w:t xml:space="preserve">وفي معايير الغفران الّتي توزّع بها الجنّة والنّار على الشّعراء سخرية نقديّة خالصة: فبيت واحد صادق ينجّي صاحبه، وديوان كامل لا يشفع لآخر، ودخول الشّعراء الجنّة أو النّار لا يجري على مقياس ظاهر مطّرد. </w:t>
      </w:r>
      <w:r>
        <w:rPr>
          <w:rFonts w:ascii="Times New Roman" w:cs="Traditional Arabic" w:hAnsi="Times New Roman"/>
          <w:b w:val="false"/>
          <w:sz w:val="32"/>
          <w:szCs w:val="32"/>
          <w:rtl/>
        </w:rPr>
        <w:t xml:space="preserve">وكأنّ المعرّي يلمّح إلى اعتباطيّة الأحكام النّقديّة الّتي كانت ترفع شاعرًا وتضع آخر في مجالس عصره؛ فمقاييس الأوّليّة والطّبقات عند الرّواة لا تقلّ غرابة عن مقاييس غفران يومئ إليها النّصّ مبتسمًا. </w:t>
      </w:r>
      <w:r>
        <w:rPr>
          <w:rFonts w:ascii="Times New Roman" w:cs="Traditional Arabic" w:hAnsi="Times New Roman"/>
          <w:b w:val="false"/>
          <w:sz w:val="32"/>
          <w:szCs w:val="32"/>
          <w:rtl/>
        </w:rPr>
        <w:t xml:space="preserve">وبهذا تصير الرّحلة الأخرويّة قاعة محاكمة معكوسة للنّقد الأدبيّ القديم.</w:t>
      </w:r>
    </w:p>
    <w:p>
      <w:pPr>
        <w:pStyle w:val="Heading3"/>
        <w:keepNext/>
        <w:bidi/>
        <w:spacing w:after="60" w:before="120" w:line="360" w:lineRule="auto"/>
        <w:jc w:val="right"/>
      </w:pPr>
      <w:r>
        <w:rPr>
          <w:rFonts w:ascii="Times New Roman" w:cs="Traditional Arabic" w:hAnsi="Times New Roman"/>
          <w:b/>
          <w:bCs/>
          <w:sz w:val="32"/>
          <w:szCs w:val="32"/>
          <w:rtl/>
        </w:rPr>
        <w:t xml:space="preserve">قراءة مقرّبة: مشهد الأعشى نموذجًا</w:t>
      </w:r>
    </w:p>
    <w:p>
      <w:pPr>
        <w:bidi/>
        <w:spacing w:after="40" w:before="0" w:line="360" w:lineRule="auto"/>
        <w:jc w:val="both"/>
      </w:pPr>
      <w:r>
        <w:rPr>
          <w:rFonts w:ascii="Times New Roman" w:cs="Traditional Arabic" w:hAnsi="Times New Roman"/>
          <w:b w:val="false"/>
          <w:sz w:val="32"/>
          <w:szCs w:val="32"/>
          <w:rtl/>
        </w:rPr>
        <w:t xml:space="preserve">ولعلّ وقفة مقرّبة عند مشهد واحد تجلو طريقة المعرّي في صنع سخريته. </w:t>
      </w:r>
      <w:r>
        <w:rPr>
          <w:rFonts w:ascii="Times New Roman" w:cs="Traditional Arabic" w:hAnsi="Times New Roman"/>
          <w:b w:val="false"/>
          <w:sz w:val="32"/>
          <w:szCs w:val="32"/>
          <w:rtl/>
        </w:rPr>
        <w:t xml:space="preserve">ففي رياض الجنّة يسمع ابن القارح شعرًا فيهتف به هاتف: "أتشعر أيّها العبد المغفور له لمن هذا الشّعر؟"</w:t>
      </w:r>
      <w:r>
        <w:rPr>
          <w:rStyle w:val="FootnoteReference"/>
        </w:rPr>
        <w:footnoteReference w:id="5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والنّداء وحده صنعة ساخرة: فلقب "العبد المغفور له" يذكّر المخاطب بالمنّة قبل أن يبدأ الكلام، وكأنّ الغفران صار كنية تلازم صاحبها.</w:t>
      </w:r>
    </w:p>
    <w:p>
      <w:pPr>
        <w:bidi/>
        <w:spacing w:after="40" w:before="0" w:line="360" w:lineRule="auto"/>
        <w:jc w:val="both"/>
      </w:pPr>
      <w:r>
        <w:rPr>
          <w:rFonts w:ascii="Times New Roman" w:cs="Traditional Arabic" w:hAnsi="Times New Roman"/>
          <w:b w:val="false"/>
          <w:sz w:val="32"/>
          <w:szCs w:val="32"/>
          <w:rtl/>
        </w:rPr>
        <w:t xml:space="preserve">ثمّ يكشف الهاتف عن نفسه: "أنا ذلك الرّجل، منّ الله عليّ بعدما صرت من جهنّم على شفير، ويئست من المغفرة"</w:t>
      </w:r>
      <w:r>
        <w:rPr>
          <w:rStyle w:val="FootnoteReference"/>
        </w:rPr>
        <w:footnoteReference w:id="6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فالأعشى يروي نجاته رواية النّاجي المذهول: غفران اللحظة الأخيرة، لا مكافأة استحقاق. </w:t>
      </w:r>
      <w:r>
        <w:rPr>
          <w:rFonts w:ascii="Times New Roman" w:cs="Traditional Arabic" w:hAnsi="Times New Roman"/>
          <w:b w:val="false"/>
          <w:sz w:val="32"/>
          <w:szCs w:val="32"/>
          <w:rtl/>
        </w:rPr>
        <w:t xml:space="preserve">ثمّ تأتي اللمسة الأخيرة في حوار زهير عن خمر الجنّة الّتي حُرمت على أعشى قيس وحده لأنّ الحجّة أدركته</w:t>
      </w:r>
      <w:r>
        <w:rPr>
          <w:rStyle w:val="FootnoteReference"/>
        </w:rPr>
        <w:footnoteReference w:id="61"/>
      </w:r>
      <w:r>
        <w:rPr>
          <w:rFonts w:ascii="Times New Roman" w:cs="Traditional Arabic" w:hAnsi="Times New Roman"/>
          <w:b w:val="false"/>
          <w:sz w:val="32"/>
          <w:szCs w:val="32"/>
          <w:rtl/>
        </w:rPr>
        <w:t xml:space="preserve">؛ فإذا في الجنّة نفسها درجات حرمان، وإذا الغفران قد يجيء منقوصًا.</w:t>
      </w:r>
    </w:p>
    <w:p>
      <w:pPr>
        <w:bidi/>
        <w:spacing w:after="40" w:before="0" w:line="360" w:lineRule="auto"/>
        <w:jc w:val="both"/>
      </w:pPr>
      <w:r>
        <w:rPr>
          <w:rFonts w:ascii="Times New Roman" w:cs="Traditional Arabic" w:hAnsi="Times New Roman"/>
          <w:b w:val="false"/>
          <w:sz w:val="32"/>
          <w:szCs w:val="32"/>
          <w:rtl/>
        </w:rPr>
        <w:t xml:space="preserve">وفي هذا المشهد الواحد تجتمع أدوات الفصل كلّها: المفارقة (مغفور له محروم)، وقلب المعنى في اللقب المبجّل، والمحاكاة السّاخرة للهجة أهل الأخبار في السّؤال والجواب، والحوار الّذي يولّد الضّحك من غير أن يصرّح به أحد. </w:t>
      </w:r>
      <w:r>
        <w:rPr>
          <w:rFonts w:ascii="Times New Roman" w:cs="Traditional Arabic" w:hAnsi="Times New Roman"/>
          <w:b w:val="false"/>
          <w:sz w:val="32"/>
          <w:szCs w:val="32"/>
          <w:rtl/>
        </w:rPr>
        <w:t xml:space="preserve">وهكذا يعمل النّصّ في كلّ موضع تقريبًا: جدّ ظاهر يحمل هزلًا باطنًا، وهزل يعيد طرح أسئلة الجدّ.</w:t>
      </w:r>
    </w:p>
    <w:p>
      <w:pPr>
        <w:pStyle w:val="Heading3"/>
        <w:keepNext/>
        <w:bidi/>
        <w:spacing w:after="60" w:before="120" w:line="360" w:lineRule="auto"/>
        <w:jc w:val="right"/>
      </w:pPr>
      <w:r>
        <w:rPr>
          <w:rFonts w:ascii="Times New Roman" w:cs="Traditional Arabic" w:hAnsi="Times New Roman"/>
          <w:b/>
          <w:bCs/>
          <w:sz w:val="32"/>
          <w:szCs w:val="32"/>
          <w:rtl/>
        </w:rPr>
        <w:t xml:space="preserve">ج. السّخرية من التّصوّرات الشّائعة عن النّعيم والعذاب</w:t>
      </w:r>
    </w:p>
    <w:p>
      <w:pPr>
        <w:bidi/>
        <w:spacing w:after="40" w:before="0" w:line="360" w:lineRule="auto"/>
        <w:jc w:val="both"/>
      </w:pPr>
      <w:r>
        <w:rPr>
          <w:rFonts w:ascii="Times New Roman" w:cs="Traditional Arabic" w:hAnsi="Times New Roman"/>
          <w:b w:val="false"/>
          <w:sz w:val="32"/>
          <w:szCs w:val="32"/>
          <w:rtl/>
        </w:rPr>
        <w:t xml:space="preserve">أمّا الموضوع الثّالث فألطفها مسلكًا وأخطرها دلالةً: التّصوير السّاخر للتّصوّرات الحسّيّة الشّائعة عن الآخرة. </w:t>
      </w:r>
      <w:r>
        <w:rPr>
          <w:rFonts w:ascii="Times New Roman" w:cs="Traditional Arabic" w:hAnsi="Times New Roman"/>
          <w:b w:val="false"/>
          <w:sz w:val="32"/>
          <w:szCs w:val="32"/>
          <w:rtl/>
        </w:rPr>
        <w:t xml:space="preserve">فجنّة الغفران حافلة بالحور والأنهار والقصور، لكنّ المعرّي يضخّم هذا النّعيم الحسّيّ تضخيمًا يقارب العبث: فالإوزّة تتحوّل جارية تغنّي ثمّ تعود إوزّة، والثّمار تنشقّ عن جوارٍ خلقن من التّسبيح، والشّيخ التّائب يهتزّ طربًا بين اللذائذ وكأنّه ما ترك الدّنيا قطّ</w:t>
      </w:r>
      <w:r>
        <w:rPr>
          <w:rStyle w:val="FootnoteReference"/>
        </w:rPr>
        <w:footnoteReference w:id="6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وفي المقابل يطلّ أهل الجنّة على أهل النّار فيتجاذبون معهم أطراف الحديث في مسائل العروض، وتطلّ الخنساء على أخيها صخر في النّار إطلالة عابرة، ويحاور إبليسُ ابنَ القارح محاورة فيها من الأسئلة المحرجة ما يكشف تهافت التّصوّر الحسّيّ الخالص للثّواب والعقاب</w:t>
      </w:r>
      <w:r>
        <w:rPr>
          <w:rStyle w:val="FootnoteReference"/>
        </w:rPr>
        <w:footnoteReference w:id="6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وقد كان في الرّسالة من هذا الباب ما شجّع الكثيرين على اتّهام صاحبها بالزّندقة والكفر، في حين رأت بنت الشّاطئ وقبلها طه حسين أنّ الرّجل بريء من ذلك، وأنّ سخريته موجّهة إلى فهوم النّاس وتصوّراتهم لا إلى العقيدة ذاتها</w:t>
      </w:r>
      <w:r>
        <w:rPr>
          <w:rStyle w:val="FootnoteReference"/>
        </w:rPr>
        <w:footnoteReference w:id="64"/>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والّذي يستقيم مع بناء النّصّ أنّ المعرّي وسّع رحمة الله في رسالته توسيعًا متعمّدًا، فأدخل الجنّة شعراء جاهليّين بأبيات مفردة، حتّى ليبدو الغفران أوسع ممّا يحتمله منطق المتزمّتين؛ وقد يُقرأ هذا التّوسيع نفسه سخريةً مزدوجةً: من ضيق أفق المتشدّدين حينًا، ومن اطمئنان أمثال ابن القارح إلى مغفرة تنال بالكلمات حينًا آخر.</w:t>
      </w:r>
    </w:p>
    <w:p>
      <w:pPr>
        <w:pStyle w:val="Heading3"/>
        <w:keepNext/>
        <w:bidi/>
        <w:spacing w:after="60" w:before="120" w:line="360" w:lineRule="auto"/>
        <w:jc w:val="right"/>
      </w:pPr>
      <w:r>
        <w:rPr>
          <w:rFonts w:ascii="Times New Roman" w:cs="Traditional Arabic" w:hAnsi="Times New Roman"/>
          <w:b/>
          <w:bCs/>
          <w:sz w:val="32"/>
          <w:szCs w:val="32"/>
          <w:rtl/>
        </w:rPr>
        <w:t xml:space="preserve">د. السّخرية الشّاملة: من البشر جميعًا ومن الكاتب نفسه</w:t>
      </w:r>
    </w:p>
    <w:p>
      <w:pPr>
        <w:bidi/>
        <w:spacing w:after="40" w:before="0" w:line="360" w:lineRule="auto"/>
        <w:jc w:val="both"/>
      </w:pPr>
      <w:r>
        <w:rPr>
          <w:rFonts w:ascii="Times New Roman" w:cs="Traditional Arabic" w:hAnsi="Times New Roman"/>
          <w:b w:val="false"/>
          <w:sz w:val="32"/>
          <w:szCs w:val="32"/>
          <w:rtl/>
        </w:rPr>
        <w:t xml:space="preserve">وثمّة مستوى رابع: سخرية شاملة من الطّبيعة البشريّة ذاتها. </w:t>
      </w:r>
      <w:r>
        <w:rPr>
          <w:rFonts w:ascii="Times New Roman" w:cs="Traditional Arabic" w:hAnsi="Times New Roman"/>
          <w:b w:val="false"/>
          <w:sz w:val="32"/>
          <w:szCs w:val="32"/>
          <w:rtl/>
        </w:rPr>
        <w:t xml:space="preserve">فابن القارح نموذج للإنسان يطلب النّجاة بأرخص ثمن وينسى في النّعيم ما قطعه في الشّدّة، والشّعراء في الجنّة لم تغيّرهم الآخرة: ما زالوا يتنازعون الأسبقيّة ويتحاسدون. </w:t>
      </w:r>
      <w:r>
        <w:rPr>
          <w:rFonts w:ascii="Times New Roman" w:cs="Traditional Arabic" w:hAnsi="Times New Roman"/>
          <w:b w:val="false"/>
          <w:sz w:val="32"/>
          <w:szCs w:val="32"/>
          <w:rtl/>
        </w:rPr>
        <w:t xml:space="preserve">فكأنّ المعرّي يقول: انقلوا البشر إلى أيّ عالم شئتم، فسينقلون معهم أهواءهم.</w:t>
      </w:r>
    </w:p>
    <w:p>
      <w:pPr>
        <w:bidi/>
        <w:spacing w:after="40" w:before="0" w:line="360" w:lineRule="auto"/>
        <w:jc w:val="both"/>
      </w:pPr>
      <w:r>
        <w:rPr>
          <w:rFonts w:ascii="Times New Roman" w:cs="Traditional Arabic" w:hAnsi="Times New Roman"/>
          <w:b w:val="false"/>
          <w:sz w:val="32"/>
          <w:szCs w:val="32"/>
          <w:rtl/>
        </w:rPr>
        <w:t xml:space="preserve">ولا يستثني المعرّي نفسه من هذه الضّحكة؛ ففي قسم الرّدّ من الرّسالة يتحدّث عن نفسه بتواضع مبالغ فيه، ويصف علمه بالقلّة وحظّه من الدّنيا بالتّفاهة، وهو تواضع لا يخلو من مفارقة عند رجل يستعرض في النّصّ نفسه محفوظًا لغويًّا لا يدانيه فيه أحد</w:t>
      </w:r>
      <w:r>
        <w:rPr>
          <w:rStyle w:val="FootnoteReference"/>
        </w:rPr>
        <w:footnoteReference w:id="65"/>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عنده لا تبدو موقف المتعالي الّذي يضحك من النّاس وحدهم، بل موقف العارف الّذي يدرك أنّه واحد منهم، وأنّ عماه وعزلته لا يخرجانه من جملة البشر الّذين يضحك منهم. </w:t>
      </w:r>
      <w:r>
        <w:rPr>
          <w:rFonts w:ascii="Times New Roman" w:cs="Traditional Arabic" w:hAnsi="Times New Roman"/>
          <w:b w:val="false"/>
          <w:sz w:val="32"/>
          <w:szCs w:val="32"/>
          <w:rtl/>
        </w:rPr>
        <w:t xml:space="preserve">ولعلّ هذا ما يعطي سخرية الغفران عمقها الإنسانيّ ويرفعها عن الشّماتة.</w:t>
      </w:r>
    </w:p>
    <w:p>
      <w:pPr>
        <w:bidi/>
        <w:spacing w:after="40" w:before="0" w:line="360" w:lineRule="auto"/>
        <w:jc w:val="both"/>
      </w:pPr>
      <w:r>
        <w:rPr>
          <w:rFonts w:ascii="Times New Roman" w:cs="Traditional Arabic" w:hAnsi="Times New Roman"/>
          <w:b w:val="false"/>
          <w:sz w:val="32"/>
          <w:szCs w:val="32"/>
          <w:rtl/>
        </w:rPr>
        <w:t xml:space="preserve">ويجدر التّنبيه إلى تفاوت منسوب السّخرية بين القسمين: ففي الرّحلة تتولّد من المواقف والحوارات، وفي الرّدّ المباشر تحلّ محلّها سخرية أدقّ مسلكًا من مجاملات مبالغ فيها ومناقشة يظاهرها التّسليم ويبطنها الفحص؛ ومن أمثلتها قوله في الوليد بن يزيد: "فكان عقله عقل وليد، وقد بلغ سنّ الكهل"</w:t>
      </w:r>
      <w:r>
        <w:rPr>
          <w:rStyle w:val="FootnoteReference"/>
        </w:rPr>
        <w:footnoteReference w:id="66"/>
      </w:r>
      <w:r>
        <w:rPr>
          <w:rFonts w:ascii="Times New Roman" w:cs="Traditional Arabic" w:hAnsi="Times New Roman"/>
          <w:b w:val="false"/>
          <w:sz w:val="32"/>
          <w:szCs w:val="32"/>
          <w:rtl/>
        </w:rPr>
        <w:t xml:space="preserve">، حيث يصنع الجناس بين الاسم والصّفة حكمًا نقديًّا لاذعًا في سبع كلمات. </w:t>
      </w:r>
      <w:r>
        <w:rPr>
          <w:rFonts w:ascii="Times New Roman" w:cs="Traditional Arabic" w:hAnsi="Times New Roman"/>
          <w:b w:val="false"/>
          <w:sz w:val="32"/>
          <w:szCs w:val="32"/>
          <w:rtl/>
        </w:rPr>
        <w:t xml:space="preserve">فهي حاضرة في القسمين معًا، ممّا يقوّي القول بأنّها بنية ناظمة للرّسالة كلّها.</w:t>
      </w:r>
    </w:p>
    <w:p>
      <w:pPr>
        <w:pStyle w:val="Heading2"/>
        <w:keepNext/>
        <w:bidi/>
        <w:spacing w:after="80" w:before="160" w:line="360" w:lineRule="auto"/>
        <w:jc w:val="right"/>
      </w:pPr>
      <w:r>
        <w:rPr>
          <w:rFonts w:ascii="Times New Roman" w:cs="Traditional Arabic" w:hAnsi="Times New Roman"/>
          <w:b/>
          <w:bCs/>
          <w:sz w:val="36"/>
          <w:szCs w:val="36"/>
          <w:rtl/>
        </w:rPr>
        <w:t xml:space="preserve">3.4 أدوات السّخرية الفنّيّة: كيف صنع المعرّي سخريته؟</w:t>
      </w:r>
    </w:p>
    <w:p>
      <w:pPr>
        <w:bidi/>
        <w:spacing w:after="40" w:before="0" w:line="360" w:lineRule="auto"/>
        <w:jc w:val="both"/>
      </w:pPr>
      <w:r>
        <w:rPr>
          <w:rFonts w:ascii="Times New Roman" w:cs="Traditional Arabic" w:hAnsi="Times New Roman"/>
          <w:b w:val="false"/>
          <w:sz w:val="32"/>
          <w:szCs w:val="32"/>
          <w:rtl/>
        </w:rPr>
        <w:t xml:space="preserve">تقوم سخرية الغفران على جملة أدوات فنّيّة متضافرة يمكن إجمال أهمّها فيما يأتي:</w:t>
      </w:r>
    </w:p>
    <w:p>
      <w:pPr>
        <w:bidi/>
        <w:spacing w:after="40" w:before="0" w:line="360" w:lineRule="auto"/>
        <w:jc w:val="both"/>
      </w:pPr>
      <w:r>
        <w:rPr>
          <w:rFonts w:ascii="Times New Roman" w:cs="Traditional Arabic" w:hAnsi="Times New Roman"/>
          <w:b w:val="false"/>
          <w:sz w:val="32"/>
          <w:szCs w:val="32"/>
          <w:rtl/>
        </w:rPr>
        <w:t xml:space="preserve">أوّلًا: المفارقة، وهي أمّ الأدوات: مفارقة بين جلال الموقف الأخرويّ وصغر الموضوعات، فالمحشر مشغول بالعروض والجنّة مجلس منادمة؛ ومفارقة بين ظاهر الخطاب وباطنه، إذ يخاطب المعرّي ابن القارح بأجلّ عبارات التّبجيل وهو يعرّيه.</w:t>
      </w:r>
    </w:p>
    <w:p>
      <w:pPr>
        <w:bidi/>
        <w:spacing w:after="40" w:before="0" w:line="360" w:lineRule="auto"/>
        <w:jc w:val="both"/>
      </w:pPr>
      <w:r>
        <w:rPr>
          <w:rFonts w:ascii="Times New Roman" w:cs="Traditional Arabic" w:hAnsi="Times New Roman"/>
          <w:b w:val="false"/>
          <w:sz w:val="32"/>
          <w:szCs w:val="32"/>
          <w:rtl/>
        </w:rPr>
        <w:t xml:space="preserve">ثانيًا: قلب المعنى والتّهكّم، أي استعمال ألفاظ المدح في مقام الذّمّ، وهو ما مرّ في تعريف السّخرية نفسه</w:t>
      </w:r>
      <w:r>
        <w:rPr>
          <w:rStyle w:val="FootnoteReference"/>
        </w:rPr>
        <w:footnoteReference w:id="67"/>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فالتّرحيب الحارّ بتوبة ابن القارح، والدّعاء المتّصل له بطول البقاء، كلاهما مديح ظاهره الصّفاء وباطنه الغمز.</w:t>
      </w:r>
    </w:p>
    <w:p>
      <w:pPr>
        <w:bidi/>
        <w:spacing w:after="40" w:before="0" w:line="360" w:lineRule="auto"/>
        <w:jc w:val="both"/>
      </w:pPr>
      <w:r>
        <w:rPr>
          <w:rFonts w:ascii="Times New Roman" w:cs="Traditional Arabic" w:hAnsi="Times New Roman"/>
          <w:b w:val="false"/>
          <w:sz w:val="32"/>
          <w:szCs w:val="32"/>
          <w:rtl/>
        </w:rPr>
        <w:t xml:space="preserve">ثالثًا: المحاكاة السّاخرة، إذ يحاكي أجناسًا قائمة ليكشف هشاشتها: مجالس الإملاء والمناظرة في ندوات الجنّة، وأدب الشّفاعات في رحلة ابن القارح، وأسانيد الرّواة في أخبار الجنّ.</w:t>
      </w:r>
    </w:p>
    <w:p>
      <w:pPr>
        <w:bidi/>
        <w:spacing w:after="40" w:before="0" w:line="360" w:lineRule="auto"/>
        <w:jc w:val="both"/>
      </w:pPr>
      <w:r>
        <w:rPr>
          <w:rFonts w:ascii="Times New Roman" w:cs="Traditional Arabic" w:hAnsi="Times New Roman"/>
          <w:b w:val="false"/>
          <w:sz w:val="32"/>
          <w:szCs w:val="32"/>
          <w:rtl/>
        </w:rPr>
        <w:t xml:space="preserve">رابعًا: المبالغة والتّضخيم، في الوصف الحسّيّ للنّعيم كما مرّ، وفي الأعداد والمقادير، حتّى يتحوّل الوصف من التّرغيب إلى الإضحاك.</w:t>
      </w:r>
    </w:p>
    <w:p>
      <w:pPr>
        <w:bidi/>
        <w:spacing w:after="40" w:before="0" w:line="360" w:lineRule="auto"/>
        <w:jc w:val="both"/>
      </w:pPr>
      <w:r>
        <w:rPr>
          <w:rFonts w:ascii="Times New Roman" w:cs="Traditional Arabic" w:hAnsi="Times New Roman"/>
          <w:b w:val="false"/>
          <w:sz w:val="32"/>
          <w:szCs w:val="32"/>
          <w:rtl/>
        </w:rPr>
        <w:t xml:space="preserve">خامسًا: الحوار وتوليد المواقف، فالسّخرية لا تجيء تقريرًا بل تتولّد من الموقف: سؤال محرج، أو جواب بارد، أو مقابلة بين متحاورين لا يستويان؛ والحوار يمنح الرّسالة طابعها الرّوائيّ ويجعل القارئ شاهدًا على المفارقة.</w:t>
      </w:r>
    </w:p>
    <w:p>
      <w:pPr>
        <w:bidi/>
        <w:spacing w:after="40" w:before="0" w:line="360" w:lineRule="auto"/>
        <w:jc w:val="both"/>
      </w:pPr>
      <w:r>
        <w:rPr>
          <w:rFonts w:ascii="Times New Roman" w:cs="Traditional Arabic" w:hAnsi="Times New Roman"/>
          <w:b w:val="false"/>
          <w:sz w:val="32"/>
          <w:szCs w:val="32"/>
          <w:rtl/>
        </w:rPr>
        <w:t xml:space="preserve">سادسًا: توظيف الصّنعة اللّغويّة نفسها كما مرّ في الفصل الأوّل؛ ففي الرّسالة مواضع يشرح فيها المتحاورون ألفاظًا غريبة شرحًا معجميًّا مطوّلًا في مقام لا يحتمل الشّرح، فيتولّد الضّحك من المفارقة بين جدّيّة الأداة وهزل المقام.</w:t>
      </w:r>
    </w:p>
    <w:p>
      <w:pPr>
        <w:bidi/>
        <w:spacing w:after="40" w:before="0" w:line="360" w:lineRule="auto"/>
        <w:jc w:val="both"/>
      </w:pPr>
      <w:r>
        <w:rPr>
          <w:rFonts w:ascii="Times New Roman" w:cs="Traditional Arabic" w:hAnsi="Times New Roman"/>
          <w:b w:val="false"/>
          <w:sz w:val="32"/>
          <w:szCs w:val="32"/>
          <w:rtl/>
        </w:rPr>
        <w:t xml:space="preserve">وقد لاحظت دراسات حديثة أنّ هذه الأدوات ليست للإضحاك المجرّد، بل هي آليّة حجاجيّة يقوم عليها الفكر الفلسفيّ عند المعرّي، اعتمدها لدفع العقل إلى التّفكير والتّدبّر</w:t>
      </w:r>
      <w:r>
        <w:rPr>
          <w:rStyle w:val="FootnoteReference"/>
        </w:rPr>
        <w:footnoteReference w:id="68"/>
      </w:r>
      <w:r>
        <w:rPr>
          <w:rFonts w:ascii="Times New Roman" w:cs="Traditional Arabic" w:hAnsi="Times New Roman"/>
          <w:b w:val="false"/>
          <w:sz w:val="32"/>
          <w:szCs w:val="32"/>
          <w:rtl/>
        </w:rPr>
        <w:t xml:space="preserve">؛ فالضّحك في الغفران وسيلة إقناع لا غاية.</w:t>
      </w:r>
    </w:p>
    <w:p>
      <w:pPr>
        <w:pStyle w:val="Heading2"/>
        <w:keepNext/>
        <w:bidi/>
        <w:spacing w:after="80" w:before="160" w:line="360" w:lineRule="auto"/>
        <w:jc w:val="right"/>
      </w:pPr>
      <w:r>
        <w:rPr>
          <w:rFonts w:ascii="Times New Roman" w:cs="Traditional Arabic" w:hAnsi="Times New Roman"/>
          <w:b/>
          <w:bCs/>
          <w:sz w:val="36"/>
          <w:szCs w:val="36"/>
          <w:rtl/>
        </w:rPr>
        <w:t xml:space="preserve">3.5 موقف الكاتب: بين الجدّ والهزل</w:t>
      </w:r>
    </w:p>
    <w:p>
      <w:pPr>
        <w:bidi/>
        <w:spacing w:after="40" w:before="0" w:line="360" w:lineRule="auto"/>
        <w:jc w:val="both"/>
      </w:pPr>
      <w:r>
        <w:rPr>
          <w:rFonts w:ascii="Times New Roman" w:cs="Traditional Arabic" w:hAnsi="Times New Roman"/>
          <w:b w:val="false"/>
          <w:sz w:val="32"/>
          <w:szCs w:val="32"/>
          <w:rtl/>
        </w:rPr>
        <w:t xml:space="preserve">يبقى السّؤال الأخير: أين يقف المعرّي نفسه ممّا يسخر منه؟ ذهب العقّاد في فصل خصّه بسخر الغفران إلى أنّ الرّسالة تكاد تكون ضحكة واحدة متّصلة، يجهر بها صاحبها حينًا ويوارب بها أحيانًا</w:t>
      </w:r>
      <w:r>
        <w:rPr>
          <w:rStyle w:val="FootnoteReference"/>
        </w:rPr>
        <w:footnoteReference w:id="69"/>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ويبدو هذا الوصف دقيقًا في جانبه الفنّيّ، لكنّه لا يعفي من تحديد وظيفة هذه الضّحكة.</w:t>
      </w:r>
    </w:p>
    <w:p>
      <w:pPr>
        <w:bidi/>
        <w:spacing w:after="40" w:before="0" w:line="360" w:lineRule="auto"/>
        <w:jc w:val="both"/>
      </w:pPr>
      <w:r>
        <w:rPr>
          <w:rFonts w:ascii="Times New Roman" w:cs="Traditional Arabic" w:hAnsi="Times New Roman"/>
          <w:b w:val="false"/>
          <w:sz w:val="32"/>
          <w:szCs w:val="32"/>
          <w:rtl/>
        </w:rPr>
        <w:t xml:space="preserve">الّذي ينتهي إليه هذا البحث أنّ سخرية الغفران هزل يراد به الجدّ: فالمعرّي جادّ في نقد التّملّق الأدبيّ الّذي مثّله ابن القارح، جادّ في مساءلة صناعة الرّواية والانتحال، جادّ في التّشكيك بالتّصوّرات الحسّيّة السّاذجة للآخرة. </w:t>
      </w:r>
      <w:r>
        <w:rPr>
          <w:rFonts w:ascii="Times New Roman" w:cs="Traditional Arabic" w:hAnsi="Times New Roman"/>
          <w:b w:val="false"/>
          <w:sz w:val="32"/>
          <w:szCs w:val="32"/>
          <w:rtl/>
        </w:rPr>
        <w:t xml:space="preserve">والسّخرية عنده قناع يتيح قول هذا كلّه من غير مواجهة مكشوفة؛ فالنّاقد الّذي يضحك يصعب اتّهامه، والقصّة الخياليّة تحتمل دائمًا أن يقال إنّها مجرّد خيال. </w:t>
      </w:r>
      <w:r>
        <w:rPr>
          <w:rFonts w:ascii="Times New Roman" w:cs="Traditional Arabic" w:hAnsi="Times New Roman"/>
          <w:b w:val="false"/>
          <w:sz w:val="32"/>
          <w:szCs w:val="32"/>
          <w:rtl/>
        </w:rPr>
        <w:t xml:space="preserve">وبهذا المعنى يمكن عدّ السّخرية عند رهين المحبسين حرّيّته الممكنة: حرّيّة تقول ولا تُمسك عليها كلمة.</w:t>
      </w:r>
    </w:p>
    <w:p>
      <w:pPr>
        <w:bidi/>
        <w:spacing w:after="40" w:before="0" w:line="360" w:lineRule="auto"/>
        <w:jc w:val="both"/>
      </w:pPr>
      <w:r>
        <w:rPr>
          <w:rFonts w:ascii="Times New Roman" w:cs="Traditional Arabic" w:hAnsi="Times New Roman"/>
          <w:b w:val="false"/>
          <w:sz w:val="32"/>
          <w:szCs w:val="32"/>
          <w:rtl/>
        </w:rPr>
        <w:t xml:space="preserve">ويتّضح موقفه أكثر بموازنته بالجاحظ: فسخرية الجاحظ اجتماعيّة مرحة غايتها القريبة الإمتاع، وسخرية المعرّي فلسفيّة قاتمة تنبع من موقف كامل من الوجود؛ الجاحظ يضحك مع النّاس، والمعرّي يضحك من المسافة الّتي تفصله عنهم</w:t>
      </w:r>
      <w:r>
        <w:rPr>
          <w:rStyle w:val="FootnoteReference"/>
        </w:rPr>
        <w:footnoteReference w:id="70"/>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وكلا الضّحكين نقد، لكنّ ضحكة الغفران أثقل ميراثًا لأنّها تحمل سؤال المصير نفسه.</w:t>
      </w:r>
    </w:p>
    <w:p>
      <w:pPr>
        <w:bidi/>
        <w:spacing w:after="40" w:before="0" w:line="360" w:lineRule="auto"/>
        <w:jc w:val="both"/>
      </w:pPr>
      <w:r>
        <w:rPr>
          <w:rFonts w:ascii="Times New Roman" w:cs="Traditional Arabic" w:hAnsi="Times New Roman"/>
          <w:b w:val="false"/>
          <w:sz w:val="32"/>
          <w:szCs w:val="32"/>
          <w:rtl/>
        </w:rPr>
        <w:t xml:space="preserve">ولا بدّ من احتياط منهجيّ: فالسّخرية قائمة على الإيحاء لا التّصريح، وتكثر في تأويلها المزالق. </w:t>
      </w:r>
      <w:r>
        <w:rPr>
          <w:rFonts w:ascii="Times New Roman" w:cs="Traditional Arabic" w:hAnsi="Times New Roman"/>
          <w:b w:val="false"/>
          <w:sz w:val="32"/>
          <w:szCs w:val="32"/>
          <w:rtl/>
        </w:rPr>
        <w:t xml:space="preserve">ولذلك آثر البحث الوقوف عند ما يسنده بناء النّصّ نفسه، من غير قطع بمقاصد لا سبيل إلى التّثبّت منها؛ فالمعرّي أحكم إغلاق نصّه على أكثر من قراءة، ولعلّ هذا الإحكام نفسه جزء من لعبته السّاخرة.</w:t>
      </w:r>
    </w:p>
    <w:p>
      <w:pPr>
        <w:bidi/>
        <w:spacing w:after="40" w:before="0" w:line="360" w:lineRule="auto"/>
        <w:jc w:val="both"/>
      </w:pPr>
      <w:r>
        <w:rPr>
          <w:rFonts w:ascii="Times New Roman" w:cs="Traditional Arabic" w:hAnsi="Times New Roman"/>
          <w:b w:val="false"/>
          <w:sz w:val="32"/>
          <w:szCs w:val="32"/>
          <w:rtl/>
        </w:rPr>
        <w:t xml:space="preserve">على أنّ في الرّسالة، إلى جانب النّقد، شيئًا من حنين الرّجل المحروم؛ وقد أحسنت بنت الشّاطئ التقاط هذا الوجه حين قرأت الجنّة الغفرانيّة قراءة الأماني الموؤودة</w:t>
      </w:r>
      <w:r>
        <w:rPr>
          <w:rStyle w:val="FootnoteReference"/>
        </w:rPr>
        <w:footnoteReference w:id="71"/>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فالسّخرية والحسرة في الغفران وجهان لشعور واحد: وعي حادّ بالمسافة بين ما يقال وما يكون، بين الأدب المحترف وحقيقة القول، وبين صورة الآخرة في الأذهان وجلالها الّذي يتنزّه عن الصّور. </w:t>
      </w:r>
      <w:r>
        <w:rPr>
          <w:rFonts w:ascii="Times New Roman" w:cs="Traditional Arabic" w:hAnsi="Times New Roman"/>
          <w:b w:val="false"/>
          <w:sz w:val="32"/>
          <w:szCs w:val="32"/>
          <w:rtl/>
        </w:rPr>
        <w:t xml:space="preserve">ومن هذه المسافة بالذّات تولد السّخرية الكبرى.</w:t>
      </w:r>
    </w:p>
    <w:p>
      <w:pPr>
        <w:pStyle w:val="Heading2"/>
        <w:keepNext/>
        <w:bidi/>
        <w:spacing w:after="80" w:before="160" w:line="360" w:lineRule="auto"/>
        <w:jc w:val="right"/>
      </w:pPr>
      <w:r>
        <w:rPr>
          <w:rFonts w:ascii="Times New Roman" w:cs="Traditional Arabic" w:hAnsi="Times New Roman"/>
          <w:b/>
          <w:bCs/>
          <w:sz w:val="36"/>
          <w:szCs w:val="36"/>
          <w:rtl/>
        </w:rPr>
        <w:t xml:space="preserve">3.6 صدى سخرية الغفران</w:t>
      </w:r>
    </w:p>
    <w:p>
      <w:pPr>
        <w:bidi/>
        <w:spacing w:after="40" w:before="0" w:line="360" w:lineRule="auto"/>
        <w:jc w:val="both"/>
      </w:pPr>
      <w:r>
        <w:rPr>
          <w:rFonts w:ascii="Times New Roman" w:cs="Traditional Arabic" w:hAnsi="Times New Roman"/>
          <w:b w:val="false"/>
          <w:sz w:val="32"/>
          <w:szCs w:val="32"/>
          <w:rtl/>
        </w:rPr>
        <w:t xml:space="preserve">لم تمت ضحكة الغفران بموت صاحبها. </w:t>
      </w:r>
      <w:r>
        <w:rPr>
          <w:rFonts w:ascii="Times New Roman" w:cs="Traditional Arabic" w:hAnsi="Times New Roman"/>
          <w:b w:val="false"/>
          <w:sz w:val="32"/>
          <w:szCs w:val="32"/>
          <w:rtl/>
        </w:rPr>
        <w:t xml:space="preserve">فقد رأى دارسون أنّ الكوميديا الإلهيّة لدانتي تلتقي معها في فكرة الرّحلة وكثير من التّفاصيل، وأنّ ملتون تأثّر بها في الفردوس المفقود</w:t>
      </w:r>
      <w:r>
        <w:rPr>
          <w:rStyle w:val="FootnoteReference"/>
        </w:rPr>
        <w:footnoteReference w:id="72"/>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وقد اختبر أبو رحمة هذه الدّعوى اختبارًا نصّيًّا مقارنًا، ملتمسًا مواطن الشّبه ووجوه الاختلاف بين الأثرين بالاعتماد على تفحّص النّصّين من الدّاخل، وليس على الوقائع والشّهادات التّاريخيّة الّتي لا تمنع من إمكان وقوع اتّصال بين دانتي ورسالة المعرّي</w:t>
      </w:r>
      <w:r>
        <w:rPr>
          <w:rStyle w:val="FootnoteReference"/>
        </w:rPr>
        <w:footnoteReference w:id="73"/>
      </w:r>
      <w:r>
        <w:rPr>
          <w:rFonts w:ascii="Times New Roman" w:cs="Traditional Arabic" w:hAnsi="Times New Roman"/>
          <w:b w:val="false"/>
          <w:sz w:val="32"/>
          <w:szCs w:val="32"/>
          <w:rtl/>
        </w:rPr>
        <w:t xml:space="preserve">.</w:t>
      </w:r>
    </w:p>
    <w:p>
      <w:pPr>
        <w:bidi/>
        <w:spacing w:after="40" w:before="0" w:line="360" w:lineRule="auto"/>
        <w:jc w:val="both"/>
      </w:pPr>
      <w:r>
        <w:rPr>
          <w:rFonts w:ascii="Times New Roman" w:cs="Traditional Arabic" w:hAnsi="Times New Roman"/>
          <w:b w:val="false"/>
          <w:sz w:val="32"/>
          <w:szCs w:val="32"/>
          <w:rtl/>
        </w:rPr>
        <w:t xml:space="preserve">وأيًّا كان الحكم في مسألة التّأثير، فإنّ الّذي يعنينا منها هنا وجهها السّخريّ: فلعلّ أظهر ما يميّز رحلة الغفران من رحلة دانتي هو الضّحك. </w:t>
      </w:r>
      <w:r>
        <w:rPr>
          <w:rFonts w:ascii="Times New Roman" w:cs="Traditional Arabic" w:hAnsi="Times New Roman"/>
          <w:b w:val="false"/>
          <w:sz w:val="32"/>
          <w:szCs w:val="32"/>
          <w:rtl/>
        </w:rPr>
        <w:t xml:space="preserve">رحلة دانتي جادّة مهيبة من أوّلها إلى آخرها، ورحلة ابن القارح تسير على حدّ المفارقة الهازلة. </w:t>
      </w:r>
      <w:r>
        <w:rPr>
          <w:rFonts w:ascii="Times New Roman" w:cs="Traditional Arabic" w:hAnsi="Times New Roman"/>
          <w:b w:val="false"/>
          <w:sz w:val="32"/>
          <w:szCs w:val="32"/>
          <w:rtl/>
        </w:rPr>
        <w:t xml:space="preserve">وقد صدرت الرّسالة كاملة بالعربيّة والإنجليزيّة ضمن سلسلة مكتبة الأدب العربيّ، فاتّسعت دائرة قرّائها. </w:t>
      </w:r>
      <w:r>
        <w:rPr>
          <w:rFonts w:ascii="Times New Roman" w:cs="Traditional Arabic" w:hAnsi="Times New Roman"/>
          <w:b w:val="false"/>
          <w:sz w:val="32"/>
          <w:szCs w:val="32"/>
          <w:rtl/>
        </w:rPr>
        <w:t xml:space="preserve">ويشير هذا الفارق إلى أنّ السّخرية في الغفران ليست عرضًا بل هويّة؛ إذ يمكن أن تروى الرّحلة الأخرويّة نفسها بلا ضحك، كما فعل دانتي، أمّا المعرّي فاختار أن يجعل من الضّحك طريقته في المعرفة؛ ولعلّ هذا ما يفسّر إقبال الدّرس الحديث، عربيًّا وغربيًّا، على الرّسالة بوصفها نصًّا حيًّا لم تستنفده القراءات بعد. </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الخاتمة</w:t>
      </w:r>
    </w:p>
    <w:p>
      <w:pPr>
        <w:bidi/>
        <w:spacing w:after="40" w:before="0" w:line="360" w:lineRule="auto"/>
        <w:jc w:val="both"/>
      </w:pPr>
      <w:r>
        <w:rPr>
          <w:rFonts w:ascii="Times New Roman" w:cs="Traditional Arabic" w:hAnsi="Times New Roman"/>
          <w:b w:val="false"/>
          <w:sz w:val="32"/>
          <w:szCs w:val="32"/>
          <w:rtl/>
        </w:rPr>
        <w:t xml:space="preserve">حاول هذا البحث الإجابة عن سؤاله المركزيّ: ما مظاهر السّخرية في رسالة الغفران، وبأيّ أدوات تحقّقت، وما وظائفها؟ وقد انتهى إلى جملة نتائج:</w:t>
      </w:r>
    </w:p>
    <w:p>
      <w:pPr>
        <w:bidi/>
        <w:spacing w:after="40" w:before="0" w:line="360" w:lineRule="auto"/>
        <w:jc w:val="both"/>
      </w:pPr>
      <w:r>
        <w:rPr>
          <w:rFonts w:ascii="Times New Roman" w:cs="Traditional Arabic" w:hAnsi="Times New Roman"/>
          <w:b w:val="false"/>
          <w:sz w:val="32"/>
          <w:szCs w:val="32"/>
          <w:rtl/>
        </w:rPr>
        <w:t xml:space="preserve">أوّلًا: أنّ قالب التّرسّل لم يكن قيدًا على المعرّي بل كان ممكّنًا له؛ فالرّسالة الأدبيّة في القرنين الرّابع والخامس كانت قد اتّسعت للسّرد والمناظرة والخيال، فلمّا أخذها المعرّي دفعها إلى أقصاها: ردّ إخوانيّ ظاهرًا، ورحلة قصصيّة ساخرة باطنًا.</w:t>
      </w:r>
    </w:p>
    <w:p>
      <w:pPr>
        <w:bidi/>
        <w:spacing w:after="40" w:before="0" w:line="360" w:lineRule="auto"/>
        <w:jc w:val="both"/>
      </w:pPr>
      <w:r>
        <w:rPr>
          <w:rFonts w:ascii="Times New Roman" w:cs="Traditional Arabic" w:hAnsi="Times New Roman"/>
          <w:b w:val="false"/>
          <w:sz w:val="32"/>
          <w:szCs w:val="32"/>
          <w:rtl/>
        </w:rPr>
        <w:t xml:space="preserve">ثانيًا: أنّ سيرة المعرّي، بعزلته وزهده ومحنته وثقافته الموسوعيّة، هي مفتاح سخريته؛ فالنّاقد الّذي لا يطلب من النّاس شيئًا يملك أن يضحك من كلّ شيء، والسّجين الثّلاثيّ وجد في الكتابة السّاخرة حرّيّته الممكنة.</w:t>
      </w:r>
    </w:p>
    <w:p>
      <w:pPr>
        <w:bidi/>
        <w:spacing w:after="40" w:before="0" w:line="360" w:lineRule="auto"/>
        <w:jc w:val="both"/>
      </w:pPr>
      <w:r>
        <w:rPr>
          <w:rFonts w:ascii="Times New Roman" w:cs="Traditional Arabic" w:hAnsi="Times New Roman"/>
          <w:b w:val="false"/>
          <w:sz w:val="32"/>
          <w:szCs w:val="32"/>
          <w:rtl/>
        </w:rPr>
        <w:t xml:space="preserve">ثالثًا: أنّ مظاهر السّخرية في الرّسالة تتوزّع على ثلاثة موضوعات كبرى: السّخرية من ابن القارح وتوبته المشكوك فيها وتملّقه، والسّخرية من الشّعراء والرّواة واللّغويّين ومقاييسهم في الرّواية والتّوثيق، والسّخرية من التّصوّرات الحسّيّة السّاذجة للنّعيم والعذاب. </w:t>
      </w:r>
      <w:r>
        <w:rPr>
          <w:rFonts w:ascii="Times New Roman" w:cs="Traditional Arabic" w:hAnsi="Times New Roman"/>
          <w:b w:val="false"/>
          <w:sz w:val="32"/>
          <w:szCs w:val="32"/>
          <w:rtl/>
        </w:rPr>
        <w:t xml:space="preserve">وأنّها تحقّقت بأدوات فنّيّة أهمّها المفارقة وقلب المعنى والمحاكاة السّاخرة والمبالغة والحوار.</w:t>
      </w:r>
    </w:p>
    <w:p>
      <w:pPr>
        <w:bidi/>
        <w:spacing w:after="40" w:before="0" w:line="360" w:lineRule="auto"/>
        <w:jc w:val="both"/>
      </w:pPr>
      <w:r>
        <w:rPr>
          <w:rFonts w:ascii="Times New Roman" w:cs="Traditional Arabic" w:hAnsi="Times New Roman"/>
          <w:b w:val="false"/>
          <w:sz w:val="32"/>
          <w:szCs w:val="32"/>
          <w:rtl/>
        </w:rPr>
        <w:t xml:space="preserve">رابعًا: أنّ موقف الكاتب هزل يراد به الجدّ: نقد أدبيّ واجتماعيّ وفكريّ ألبس لبوس الضّحك اتّقاءً وتلطّفًا، تختلط فيه السّخرية بحنين مكبوت أحسنت بنت الشّاطئ وصفه.</w:t>
      </w:r>
    </w:p>
    <w:p>
      <w:pPr>
        <w:bidi/>
        <w:spacing w:after="40" w:before="0" w:line="360" w:lineRule="auto"/>
        <w:jc w:val="both"/>
      </w:pPr>
      <w:r>
        <w:rPr>
          <w:rFonts w:ascii="Times New Roman" w:cs="Traditional Arabic" w:hAnsi="Times New Roman"/>
          <w:b w:val="false"/>
          <w:sz w:val="32"/>
          <w:szCs w:val="32"/>
          <w:rtl/>
        </w:rPr>
        <w:t xml:space="preserve">ويفتح البحث آفاقًا لدراسات لاحقة: دراسة السّخرية في رسائل المعرّي الأخرى، وتوسيع المقارنة مع الكوميديا الإلهيّة في باب السّخرية خاصّة، ودراسة تلقّي سخرية الغفران بين الاتّهام والدّفاع. </w:t>
      </w:r>
      <w:r>
        <w:rPr>
          <w:rFonts w:ascii="Times New Roman" w:cs="Traditional Arabic" w:hAnsi="Times New Roman"/>
          <w:b w:val="false"/>
          <w:sz w:val="32"/>
          <w:szCs w:val="32"/>
          <w:rtl/>
        </w:rPr>
        <w:t xml:space="preserve">ويقترح عمليًّا إدراج نصوص من قسم الرّحلة في تدريس النّقد الأدبيّ القديم، لما تحويه من مباحث نقديّة معروضة بأسلوب حيّ.</w:t>
      </w:r>
    </w:p>
    <w:p>
      <w:pPr>
        <w:bidi/>
        <w:spacing w:after="40" w:before="0" w:line="360" w:lineRule="auto"/>
        <w:jc w:val="both"/>
      </w:pPr>
      <w:r>
        <w:rPr>
          <w:rFonts w:ascii="Times New Roman" w:cs="Traditional Arabic" w:hAnsi="Times New Roman"/>
          <w:b w:val="false"/>
          <w:sz w:val="32"/>
          <w:szCs w:val="32"/>
          <w:rtl/>
        </w:rPr>
        <w:t xml:space="preserve">وبذلك يكون البحث قد أجاب عن سؤاله المركزيّ: فمظاهر السّخرية في رسالة الغفران ثلاثة موضوعات كبرى تظلّلها سخرية إنسانيّة شاملة، وأدواتها المفارقة وقلب المعنى والمحاكاة والمبالغة والحوار، ووظيفتها نقد جادّ احتمى بالضّحك؛ وتبقى الرّسالة بعد ذلك كلّه شاهدًا على أنّ أعمق النّقد قد يجيء في أخفّ القوالب.</w:t>
      </w:r>
    </w:p>
    <w:p>
      <w:pPr>
        <w:pStyle w:val="Heading1"/>
        <w:keepNext/>
        <w:pageBreakBefore/>
        <w:bidi/>
        <w:spacing w:after="160" w:before="120" w:line="360" w:lineRule="auto"/>
        <w:jc w:val="center"/>
      </w:pPr>
      <w:r>
        <w:rPr>
          <w:rFonts w:ascii="Times New Roman" w:cs="Traditional Arabic" w:hAnsi="Times New Roman"/>
          <w:b/>
          <w:bCs/>
          <w:sz w:val="40"/>
          <w:szCs w:val="40"/>
          <w:rtl/>
        </w:rPr>
        <w:t xml:space="preserve">البيبليوغرافيا</w:t>
      </w:r>
    </w:p>
    <w:p>
      <w:pPr>
        <w:bidi/>
        <w:spacing w:after="40" w:before="0" w:line="360" w:lineRule="auto"/>
        <w:jc w:val="both"/>
      </w:pPr>
      <w:r>
        <w:rPr>
          <w:rFonts w:ascii="Times New Roman" w:cs="Traditional Arabic" w:hAnsi="Times New Roman"/>
          <w:b w:val="false"/>
          <w:sz w:val="32"/>
          <w:szCs w:val="32"/>
          <w:rtl/>
        </w:rPr>
        <w:t xml:space="preserve">1. </w:t>
      </w:r>
      <w:r>
        <w:rPr>
          <w:rFonts w:ascii="Times New Roman" w:cs="Traditional Arabic" w:hAnsi="Times New Roman"/>
          <w:b w:val="false"/>
          <w:sz w:val="32"/>
          <w:szCs w:val="32"/>
          <w:rtl/>
        </w:rPr>
        <w:t xml:space="preserve">أبو رحمة، عماد محمود. </w:t>
      </w:r>
      <w:r>
        <w:rPr>
          <w:rFonts w:ascii="Times New Roman" w:cs="Traditional Arabic" w:hAnsi="Times New Roman"/>
          <w:b w:val="false"/>
          <w:sz w:val="32"/>
          <w:szCs w:val="32"/>
          <w:rtl/>
        </w:rPr>
        <w:t xml:space="preserve">"أثر رسالة الغفران لأبي العلاء المعرّي في الكوميديا الإلهيّة لدانتي: دراسة نصّيّة مقارنة".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الجامعة الإسلاميّة للبحوث الإنسانيّة</w:t>
      </w:r>
      <w:r>
        <w:rPr>
          <w:rFonts w:ascii="Times New Roman" w:cs="Traditional Arabic" w:hAnsi="Times New Roman"/>
          <w:b w:val="false"/>
          <w:sz w:val="32"/>
          <w:szCs w:val="32"/>
          <w:rtl/>
        </w:rPr>
        <w:t xml:space="preserve">، 23(2). </w:t>
      </w:r>
      <w:r>
        <w:rPr>
          <w:rFonts w:ascii="Times New Roman" w:cs="Traditional Arabic" w:hAnsi="Times New Roman"/>
          <w:b w:val="false"/>
          <w:sz w:val="32"/>
          <w:szCs w:val="32"/>
          <w:rtl/>
        </w:rPr>
        <w:t xml:space="preserve">غزّة: الجامعة الإسلاميّة، 2015.</w:t>
      </w:r>
    </w:p>
    <w:p>
      <w:pPr>
        <w:bidi/>
        <w:spacing w:after="40" w:before="0" w:line="360" w:lineRule="auto"/>
        <w:jc w:val="both"/>
      </w:pPr>
      <w:r>
        <w:rPr>
          <w:rFonts w:ascii="Times New Roman" w:cs="Traditional Arabic" w:hAnsi="Times New Roman"/>
          <w:b w:val="false"/>
          <w:sz w:val="32"/>
          <w:szCs w:val="32"/>
          <w:rtl/>
        </w:rPr>
        <w:t xml:space="preserve">2. </w:t>
      </w:r>
      <w:r>
        <w:rPr>
          <w:rFonts w:ascii="Times New Roman" w:cs="Traditional Arabic" w:hAnsi="Times New Roman"/>
          <w:b w:val="false"/>
          <w:sz w:val="32"/>
          <w:szCs w:val="32"/>
          <w:rtl/>
        </w:rPr>
        <w:t xml:space="preserve">بن قيراط، حنان. </w:t>
      </w:r>
      <w:r>
        <w:rPr>
          <w:rFonts w:ascii="Times New Roman" w:cs="Traditional Arabic" w:hAnsi="Times New Roman"/>
          <w:b w:val="false"/>
          <w:sz w:val="32"/>
          <w:szCs w:val="32"/>
          <w:rtl/>
        </w:rPr>
        <w:t xml:space="preserve">"فلسفة السّخرية في رسالة الغفران لأبي العلاء المعرّي".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مجلّة الحكمة للدّراسات الفلسفيّة</w:t>
      </w:r>
      <w:r>
        <w:rPr>
          <w:rFonts w:ascii="Times New Roman" w:cs="Traditional Arabic" w:hAnsi="Times New Roman"/>
          <w:b w:val="false"/>
          <w:sz w:val="32"/>
          <w:szCs w:val="32"/>
          <w:rtl/>
        </w:rPr>
        <w:t xml:space="preserve">، 10(3)، 2022، 1343-1363.</w:t>
      </w:r>
    </w:p>
    <w:p>
      <w:pPr>
        <w:bidi/>
        <w:spacing w:after="40" w:before="0" w:line="360" w:lineRule="auto"/>
        <w:jc w:val="both"/>
      </w:pPr>
      <w:r>
        <w:rPr>
          <w:rFonts w:ascii="Times New Roman" w:cs="Traditional Arabic" w:hAnsi="Times New Roman"/>
          <w:b w:val="false"/>
          <w:sz w:val="32"/>
          <w:szCs w:val="32"/>
          <w:rtl/>
        </w:rPr>
        <w:t xml:space="preserve">3. </w:t>
      </w:r>
      <w:r>
        <w:rPr>
          <w:rFonts w:ascii="Times New Roman" w:cs="Traditional Arabic" w:hAnsi="Times New Roman"/>
          <w:b w:val="false"/>
          <w:sz w:val="32"/>
          <w:szCs w:val="32"/>
          <w:rtl/>
        </w:rPr>
        <w:t xml:space="preserve">توحيدي فر، نرجس.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أبو العلاء المعرّي: دراسة في معتقداته الدّينيّة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2011.</w:t>
      </w:r>
    </w:p>
    <w:p>
      <w:pPr>
        <w:bidi/>
        <w:spacing w:after="40" w:before="0" w:line="360" w:lineRule="auto"/>
        <w:jc w:val="both"/>
      </w:pPr>
      <w:r>
        <w:rPr>
          <w:rFonts w:ascii="Times New Roman" w:cs="Traditional Arabic" w:hAnsi="Times New Roman"/>
          <w:b w:val="false"/>
          <w:sz w:val="32"/>
          <w:szCs w:val="32"/>
          <w:rtl/>
        </w:rPr>
        <w:t xml:space="preserve">4. </w:t>
      </w:r>
      <w:r>
        <w:rPr>
          <w:rFonts w:ascii="Times New Roman" w:cs="Traditional Arabic" w:hAnsi="Times New Roman"/>
          <w:b w:val="false"/>
          <w:sz w:val="32"/>
          <w:szCs w:val="32"/>
          <w:rtl/>
        </w:rPr>
        <w:t xml:space="preserve">الجندي، محمّد سليم.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الجامع في أخبار أبي العلاء المعرّي وآثاره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الجزء الأوّل. </w:t>
      </w:r>
      <w:r>
        <w:rPr>
          <w:rFonts w:ascii="Times New Roman" w:cs="Traditional Arabic" w:hAnsi="Times New Roman"/>
          <w:b w:val="false"/>
          <w:sz w:val="32"/>
          <w:szCs w:val="32"/>
          <w:rtl/>
        </w:rPr>
        <w:t xml:space="preserve">تعليق وإشراف: عبد الهادي هاشم. </w:t>
      </w:r>
      <w:r>
        <w:rPr>
          <w:rFonts w:ascii="Times New Roman" w:cs="Traditional Arabic" w:hAnsi="Times New Roman"/>
          <w:b w:val="false"/>
          <w:sz w:val="32"/>
          <w:szCs w:val="32"/>
          <w:rtl/>
        </w:rPr>
        <w:t xml:space="preserve">دمشق: مطبوعات المجمع العلميّ العربيّ، 1962.</w:t>
      </w:r>
    </w:p>
    <w:p>
      <w:pPr>
        <w:bidi/>
        <w:spacing w:after="40" w:before="0" w:line="360" w:lineRule="auto"/>
        <w:jc w:val="both"/>
      </w:pPr>
      <w:r>
        <w:rPr>
          <w:rFonts w:ascii="Times New Roman" w:cs="Traditional Arabic" w:hAnsi="Times New Roman"/>
          <w:b w:val="false"/>
          <w:sz w:val="32"/>
          <w:szCs w:val="32"/>
          <w:rtl/>
        </w:rPr>
        <w:t xml:space="preserve">5.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تجديد ذكرى أبي العلاء</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6. </w:t>
      </w:r>
      <w:r>
        <w:rPr>
          <w:rFonts w:ascii="Times New Roman" w:cs="Traditional Arabic" w:hAnsi="Times New Roman"/>
          <w:b w:val="false"/>
          <w:sz w:val="32"/>
          <w:szCs w:val="32"/>
          <w:rtl/>
        </w:rPr>
        <w:t xml:space="preserve">حسين، طه.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مع أبي العلاء في سجنه</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1939.</w:t>
      </w:r>
    </w:p>
    <w:p>
      <w:pPr>
        <w:bidi/>
        <w:spacing w:after="40" w:before="0" w:line="360" w:lineRule="auto"/>
        <w:jc w:val="both"/>
      </w:pPr>
      <w:r>
        <w:rPr>
          <w:rFonts w:ascii="Times New Roman" w:cs="Traditional Arabic" w:hAnsi="Times New Roman"/>
          <w:b w:val="false"/>
          <w:sz w:val="32"/>
          <w:szCs w:val="32"/>
          <w:rtl/>
        </w:rPr>
        <w:t xml:space="preserve">7. </w:t>
      </w:r>
      <w:r>
        <w:rPr>
          <w:rFonts w:ascii="Times New Roman" w:cs="Traditional Arabic" w:hAnsi="Times New Roman"/>
          <w:b w:val="false"/>
          <w:sz w:val="32"/>
          <w:szCs w:val="32"/>
          <w:rtl/>
        </w:rPr>
        <w:t xml:space="preserve">ضيف، شوقي.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الفنّ ومذاهبه في النّثر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13.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8. </w:t>
      </w:r>
      <w:r>
        <w:rPr>
          <w:rFonts w:ascii="Times New Roman" w:cs="Traditional Arabic" w:hAnsi="Times New Roman"/>
          <w:b w:val="false"/>
          <w:sz w:val="32"/>
          <w:szCs w:val="32"/>
          <w:rtl/>
        </w:rPr>
        <w:t xml:space="preserve">طه، نعمان محمّد أمين.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السّخرية في الأدب العربيّ حتّى نهاية القرن الرّابع الهجريّ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التّوفيقيّة، 1979.</w:t>
      </w:r>
    </w:p>
    <w:p>
      <w:pPr>
        <w:bidi/>
        <w:spacing w:after="40" w:before="0" w:line="360" w:lineRule="auto"/>
        <w:jc w:val="both"/>
      </w:pPr>
      <w:r>
        <w:rPr>
          <w:rFonts w:ascii="Times New Roman" w:cs="Traditional Arabic" w:hAnsi="Times New Roman"/>
          <w:b w:val="false"/>
          <w:sz w:val="32"/>
          <w:szCs w:val="32"/>
          <w:rtl/>
        </w:rPr>
        <w:t xml:space="preserve">9. </w:t>
      </w:r>
      <w:r>
        <w:rPr>
          <w:rFonts w:ascii="Times New Roman" w:cs="Traditional Arabic" w:hAnsi="Times New Roman"/>
          <w:b w:val="false"/>
          <w:sz w:val="32"/>
          <w:szCs w:val="32"/>
          <w:rtl/>
        </w:rPr>
        <w:t xml:space="preserve">عبد الرّحمن، عائشة (بنت الشّاطئ).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الغفران لأبي العلاء المعرّي: دراسة نقديّة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دار المعارف، [د.ت].</w:t>
      </w:r>
    </w:p>
    <w:p>
      <w:pPr>
        <w:bidi/>
        <w:spacing w:after="40" w:before="0" w:line="360" w:lineRule="auto"/>
        <w:jc w:val="both"/>
      </w:pPr>
      <w:r>
        <w:rPr>
          <w:rFonts w:ascii="Times New Roman" w:cs="Traditional Arabic" w:hAnsi="Times New Roman"/>
          <w:b w:val="false"/>
          <w:sz w:val="32"/>
          <w:szCs w:val="32"/>
          <w:rtl/>
        </w:rPr>
        <w:t xml:space="preserve">10. </w:t>
      </w:r>
      <w:r>
        <w:rPr>
          <w:rFonts w:ascii="Times New Roman" w:cs="Traditional Arabic" w:hAnsi="Times New Roman"/>
          <w:b w:val="false"/>
          <w:sz w:val="32"/>
          <w:szCs w:val="32"/>
          <w:rtl/>
        </w:rPr>
        <w:t xml:space="preserve">العقّاد، عبّاس محمود.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مطالعات في الكتب والحياة</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11. </w:t>
      </w:r>
      <w:r>
        <w:rPr>
          <w:rFonts w:ascii="Times New Roman" w:cs="Traditional Arabic" w:hAnsi="Times New Roman"/>
          <w:b w:val="false"/>
          <w:sz w:val="32"/>
          <w:szCs w:val="32"/>
          <w:rtl/>
        </w:rPr>
        <w:t xml:space="preserve">كتّاني، سمير. </w:t>
      </w:r>
      <w:r>
        <w:rPr>
          <w:rFonts w:ascii="Times New Roman" w:cs="Traditional Arabic" w:hAnsi="Times New Roman"/>
          <w:b w:val="false"/>
          <w:sz w:val="32"/>
          <w:szCs w:val="32"/>
          <w:rtl/>
        </w:rPr>
        <w:t xml:space="preserve">"الأدب كإطار للمعارف في الموروث العربيّ الكلاسيكيّ: مفاهيمه، طبيعته ومضامينه".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المجمع</w:t>
      </w:r>
      <w:r>
        <w:rPr>
          <w:rFonts w:ascii="Times New Roman" w:cs="Traditional Arabic" w:hAnsi="Times New Roman"/>
          <w:b w:val="false"/>
          <w:sz w:val="32"/>
          <w:szCs w:val="32"/>
          <w:rtl/>
        </w:rPr>
        <w:t xml:space="preserve">، العدد 1، 2009، 1-26.</w:t>
      </w:r>
    </w:p>
    <w:p>
      <w:pPr>
        <w:bidi/>
        <w:spacing w:after="40" w:before="0" w:line="360" w:lineRule="auto"/>
        <w:jc w:val="both"/>
      </w:pPr>
      <w:r>
        <w:rPr>
          <w:rFonts w:ascii="Times New Roman" w:cs="Traditional Arabic" w:hAnsi="Times New Roman"/>
          <w:b w:val="false"/>
          <w:sz w:val="32"/>
          <w:szCs w:val="32"/>
          <w:rtl/>
        </w:rPr>
        <w:t xml:space="preserve">12. </w:t>
      </w:r>
      <w:r>
        <w:rPr>
          <w:rFonts w:ascii="Times New Roman" w:cs="Traditional Arabic" w:hAnsi="Times New Roman"/>
          <w:b w:val="false"/>
          <w:sz w:val="32"/>
          <w:szCs w:val="32"/>
          <w:rtl/>
        </w:rPr>
        <w:t xml:space="preserve">كرد علي، محمّد.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أمراء البيان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مطبعة لجنة التّأليف والتّرجمة والنّشر، 1937.</w:t>
      </w:r>
    </w:p>
    <w:p>
      <w:pPr>
        <w:bidi/>
        <w:spacing w:after="40" w:before="0" w:line="360" w:lineRule="auto"/>
        <w:jc w:val="both"/>
      </w:pPr>
      <w:r>
        <w:rPr>
          <w:rFonts w:ascii="Times New Roman" w:cs="Traditional Arabic" w:hAnsi="Times New Roman"/>
          <w:b w:val="false"/>
          <w:sz w:val="32"/>
          <w:szCs w:val="32"/>
          <w:rtl/>
        </w:rPr>
        <w:t xml:space="preserve">13. </w:t>
      </w:r>
      <w:r>
        <w:rPr>
          <w:rFonts w:ascii="Times New Roman" w:cs="Traditional Arabic" w:hAnsi="Times New Roman"/>
          <w:b w:val="false"/>
          <w:sz w:val="32"/>
          <w:szCs w:val="32"/>
          <w:rtl/>
        </w:rPr>
        <w:t xml:space="preserve">مبارك، زكي.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النّثر الفنّيّ في القرن الرّابع</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القاهرة: مؤسّسة هنداوي للتّعليم والثّقافة، 2013.</w:t>
      </w:r>
    </w:p>
    <w:p>
      <w:pPr>
        <w:bidi/>
        <w:spacing w:after="40" w:before="0" w:line="360" w:lineRule="auto"/>
        <w:jc w:val="both"/>
      </w:pPr>
      <w:r>
        <w:rPr>
          <w:rFonts w:ascii="Times New Roman" w:cs="Traditional Arabic" w:hAnsi="Times New Roman"/>
          <w:b w:val="false"/>
          <w:sz w:val="32"/>
          <w:szCs w:val="32"/>
          <w:rtl/>
        </w:rPr>
        <w:t xml:space="preserve">14.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عائشة عبد الرّحمن (بنت الشّاطئ). </w:t>
      </w:r>
      <w:r>
        <w:rPr>
          <w:rFonts w:ascii="Times New Roman" w:cs="Traditional Arabic" w:hAnsi="Times New Roman"/>
          <w:b w:val="false"/>
          <w:sz w:val="32"/>
          <w:szCs w:val="32"/>
          <w:rtl/>
        </w:rPr>
        <w:t xml:space="preserve">القاهرة: دار المعارف، 1963.</w:t>
      </w:r>
    </w:p>
    <w:p>
      <w:pPr>
        <w:bidi/>
        <w:spacing w:after="40" w:before="0" w:line="360" w:lineRule="auto"/>
        <w:jc w:val="both"/>
      </w:pPr>
      <w:r>
        <w:rPr>
          <w:rFonts w:ascii="Times New Roman" w:cs="Traditional Arabic" w:hAnsi="Times New Roman"/>
          <w:b w:val="false"/>
          <w:sz w:val="32"/>
          <w:szCs w:val="32"/>
          <w:rtl/>
        </w:rPr>
        <w:t xml:space="preserve">15.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تحقيق: كامل كيلاني. </w:t>
      </w:r>
      <w:r>
        <w:rPr>
          <w:rFonts w:ascii="Times New Roman" w:cs="Traditional Arabic" w:hAnsi="Times New Roman"/>
          <w:b w:val="false"/>
          <w:sz w:val="32"/>
          <w:szCs w:val="32"/>
          <w:rtl/>
        </w:rPr>
        <w:t xml:space="preserve">وندسور: مؤسّسة هنداوي، 2017.</w:t>
      </w:r>
    </w:p>
    <w:p>
      <w:pPr>
        <w:bidi/>
        <w:spacing w:after="40" w:before="0" w:line="360" w:lineRule="auto"/>
        <w:jc w:val="both"/>
      </w:pPr>
      <w:r>
        <w:rPr>
          <w:rFonts w:ascii="Times New Roman" w:cs="Traditional Arabic" w:hAnsi="Times New Roman"/>
          <w:b w:val="false"/>
          <w:sz w:val="32"/>
          <w:szCs w:val="32"/>
          <w:rtl/>
        </w:rPr>
        <w:t xml:space="preserve">16.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لزوم ما لا يلزم (اللزوميّات)</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بيروت: دار صادر، [د.ت].</w:t>
      </w:r>
    </w:p>
    <w:p>
      <w:pPr>
        <w:bidi/>
        <w:spacing w:after="40" w:before="0" w:line="360" w:lineRule="auto"/>
        <w:jc w:val="both"/>
      </w:pPr>
      <w:r>
        <w:rPr>
          <w:rFonts w:ascii="Times New Roman" w:cs="Traditional Arabic" w:hAnsi="Times New Roman"/>
          <w:b w:val="false"/>
          <w:sz w:val="32"/>
          <w:szCs w:val="32"/>
          <w:rtl/>
        </w:rPr>
        <w:t xml:space="preserve">17. </w:t>
      </w:r>
      <w:r>
        <w:rPr>
          <w:rFonts w:ascii="Times New Roman" w:cs="Traditional Arabic" w:hAnsi="Times New Roman"/>
          <w:b w:val="false"/>
          <w:sz w:val="32"/>
          <w:szCs w:val="32"/>
          <w:rtl/>
        </w:rPr>
        <w:t xml:space="preserve">المعرّي، أبو العلاء.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مختارات من رسالة الغفران</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اختيار وتقديم: أحمد رجب شلتوت. </w:t>
      </w:r>
      <w:r>
        <w:rPr>
          <w:rFonts w:ascii="Times New Roman" w:cs="Traditional Arabic" w:hAnsi="Times New Roman"/>
          <w:b w:val="false"/>
          <w:sz w:val="32"/>
          <w:szCs w:val="32"/>
          <w:rtl/>
        </w:rPr>
        <w:t xml:space="preserve">الجيزة: أزهى العربيّة للإعلام والفنون والدّراسات الإنسانيّة والنّشر، 2025.</w:t>
      </w:r>
    </w:p>
    <w:p>
      <w:pPr>
        <w:bidi/>
        <w:spacing w:after="40" w:before="0" w:line="360" w:lineRule="auto"/>
        <w:jc w:val="both"/>
      </w:pPr>
      <w:r>
        <w:rPr>
          <w:rFonts w:ascii="Times New Roman" w:cs="Traditional Arabic" w:hAnsi="Times New Roman"/>
          <w:b w:val="false"/>
          <w:sz w:val="32"/>
          <w:szCs w:val="32"/>
          <w:rtl/>
        </w:rPr>
        <w:t xml:space="preserve">18. </w:t>
      </w:r>
      <w:r>
        <w:rPr>
          <w:rFonts w:ascii="Times New Roman" w:cs="Traditional Arabic" w:hAnsi="Times New Roman"/>
          <w:b w:val="false"/>
          <w:sz w:val="32"/>
          <w:szCs w:val="32"/>
          <w:rtl/>
        </w:rPr>
        <w:t xml:space="preserve">المقدسي، أنيس.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تطوّر الأساليب النّثريّة في الأدب العربيّ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ط 8. </w:t>
      </w:r>
      <w:r>
        <w:rPr>
          <w:rFonts w:ascii="Times New Roman" w:cs="Traditional Arabic" w:hAnsi="Times New Roman"/>
          <w:b w:val="false"/>
          <w:sz w:val="32"/>
          <w:szCs w:val="32"/>
          <w:rtl/>
        </w:rPr>
        <w:t xml:space="preserve">بيروت: دار العلم للملايين، 1989.</w:t>
      </w:r>
    </w:p>
    <w:p>
      <w:pPr>
        <w:bidi/>
        <w:spacing w:after="40" w:before="0" w:line="360" w:lineRule="auto"/>
        <w:jc w:val="both"/>
      </w:pPr>
      <w:r>
        <w:rPr>
          <w:rFonts w:ascii="Times New Roman" w:cs="Traditional Arabic" w:hAnsi="Times New Roman"/>
          <w:b w:val="false"/>
          <w:sz w:val="32"/>
          <w:szCs w:val="32"/>
          <w:rtl/>
        </w:rPr>
        <w:t xml:space="preserve">19. </w:t>
      </w:r>
      <w:r>
        <w:rPr>
          <w:rFonts w:ascii="Times New Roman" w:cs="Traditional Arabic" w:hAnsi="Times New Roman"/>
          <w:b w:val="false"/>
          <w:sz w:val="32"/>
          <w:szCs w:val="32"/>
          <w:rtl/>
        </w:rPr>
        <w:t xml:space="preserve">الواد، حسين. </w:t>
      </w:r>
      <w:r>
        <w:rPr>
          <w:rFonts w:ascii="Times New Roman" w:cs="Traditional Arabic" w:hAnsi="Times New Roman"/>
          <w:b w:val="false"/>
          <w:sz w:val="32"/>
          <w:szCs w:val="32"/>
          <w:rtl/>
        </w:rPr>
        <w:t xml:space="preserve"/>
      </w:r>
      <w:r>
        <w:rPr>
          <w:rFonts w:ascii="Times New Roman" w:cs="Traditional Arabic" w:hAnsi="Times New Roman"/>
          <w:b/>
          <w:bCs/>
          <w:sz w:val="32"/>
          <w:szCs w:val="32"/>
          <w:rtl/>
        </w:rPr>
        <w:t xml:space="preserve">البنية القصصيّة في رسالة الغفران لأبي العلاء المعرّي</w:t>
      </w:r>
      <w:r>
        <w:rPr>
          <w:rFonts w:ascii="Times New Roman" w:cs="Traditional Arabic" w:hAnsi="Times New Roman"/>
          <w:b w:val="false"/>
          <w:sz w:val="32"/>
          <w:szCs w:val="32"/>
          <w:rtl/>
        </w:rPr>
        <w:t xml:space="preserve">. </w:t>
      </w:r>
      <w:r>
        <w:rPr>
          <w:rFonts w:ascii="Times New Roman" w:cs="Traditional Arabic" w:hAnsi="Times New Roman"/>
          <w:b w:val="false"/>
          <w:sz w:val="32"/>
          <w:szCs w:val="32"/>
          <w:rtl/>
        </w:rPr>
        <w:t xml:space="preserve">تونس: الدّار العربيّة للكتاب، 1975.</w:t>
      </w:r>
    </w:p>
    <w:p>
      <w:pPr>
        <w:spacing w:after="120" w:line="360" w:lineRule="auto"/>
        <w:jc w:val="left"/>
      </w:pPr>
      <w:r>
        <w:rPr>
          <w:rFonts w:ascii="Times New Roman" w:cs="Times New Roman" w:hAnsi="Times New Roman"/>
          <w:i w:val="false"/>
          <w:iCs w:val="false"/>
          <w:sz w:val="24"/>
          <w:szCs w:val="24"/>
        </w:rPr>
        <w:t xml:space="preserve">20. Al-Maʿarrī, Abū al-ʿAlāʾ. </w:t>
      </w:r>
      <w:r>
        <w:rPr>
          <w:rFonts w:ascii="Times New Roman" w:cs="Times New Roman" w:hAnsi="Times New Roman"/>
          <w:i/>
          <w:iCs/>
          <w:sz w:val="24"/>
          <w:szCs w:val="24"/>
        </w:rPr>
        <w:t xml:space="preserve">The Epistle of Forgiveness</w:t>
      </w:r>
      <w:r>
        <w:rPr>
          <w:rFonts w:ascii="Times New Roman" w:cs="Times New Roman" w:hAnsi="Times New Roman"/>
          <w:i w:val="false"/>
          <w:iCs w:val="false"/>
          <w:sz w:val="24"/>
          <w:szCs w:val="24"/>
        </w:rPr>
        <w:t xml:space="preserve">. Edited and translated by Geert Jan van Gelder and Gregor Schoeler. New York: New York University Press, 2013.</w:t>
      </w:r>
    </w:p>
    <w:p>
      <w:pPr>
        <w:spacing w:after="120" w:line="360" w:lineRule="auto"/>
        <w:jc w:val="left"/>
      </w:pPr>
      <w:r>
        <w:rPr>
          <w:rFonts w:ascii="Times New Roman" w:cs="Times New Roman" w:hAnsi="Times New Roman"/>
          <w:i w:val="false"/>
          <w:iCs w:val="false"/>
          <w:sz w:val="24"/>
          <w:szCs w:val="24"/>
        </w:rPr>
        <w:t xml:space="preserve">21. Nicholson, R. A. </w:t>
      </w:r>
      <w:r>
        <w:rPr>
          <w:rFonts w:ascii="Times New Roman" w:cs="Times New Roman" w:hAnsi="Times New Roman"/>
          <w:i/>
          <w:iCs/>
          <w:sz w:val="24"/>
          <w:szCs w:val="24"/>
        </w:rPr>
        <w:t xml:space="preserve">Studies in Islamic Poetry</w:t>
      </w:r>
      <w:r>
        <w:rPr>
          <w:rFonts w:ascii="Times New Roman" w:cs="Times New Roman" w:hAnsi="Times New Roman"/>
          <w:i w:val="false"/>
          <w:iCs w:val="false"/>
          <w:sz w:val="24"/>
          <w:szCs w:val="24"/>
        </w:rPr>
        <w:t xml:space="preserve">. Cambridge: Cambridge University Press, 1921.</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على التّوالي: العقّاد،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 وعبد الرّحمن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 والواد،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وأبو رحمة، "أثر رسالة الغفران لأبي العلاء المعرّي في الكوميديا الإلهيّة لدانتي"؛ وبن قيراط، "فلسفة السّخرية في رسالة الغفران لأبي العلاء المعرّي".</w:t>
      </w:r>
    </w:p>
  </w:footnote>
  <w:footnote w:id="2">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بن قيراط،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كامل كيلاني)؛ والمعرّي،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بنت الشّاطئ)؛ والمعرّي، </w:t>
      </w:r>
      <w:r>
        <w:rPr>
          <w:rFonts w:ascii="Times New Roman" w:cs="Traditional Arabic" w:hAnsi="Times New Roman"/>
          <w:b/>
          <w:bCs/>
          <w:sz w:val="24"/>
          <w:szCs w:val="24"/>
          <w:rtl/>
        </w:rPr>
        <w:t xml:space="preserve">مختارات من رسالة الغفران</w:t>
      </w:r>
      <w:r>
        <w:rPr>
          <w:rFonts w:ascii="Times New Roman" w:cs="Traditional Arabic" w:hAnsi="Times New Roman"/>
          <w:b w:val="false"/>
          <w:sz w:val="24"/>
          <w:szCs w:val="24"/>
          <w:rtl/>
        </w:rPr>
        <w:t xml:space="preserve"> (اختيار وتقديم أحمد رجب شلتوت).</w:t>
      </w:r>
    </w:p>
  </w:footnote>
  <w:footnote w:id="4">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سمير، "الأدب كإطار للمعارف في الموروث العربيّ الكلاسيكيّ"، </w:t>
      </w:r>
      <w:r>
        <w:rPr>
          <w:rFonts w:ascii="Times New Roman" w:cs="Traditional Arabic" w:hAnsi="Times New Roman"/>
          <w:b/>
          <w:bCs/>
          <w:sz w:val="24"/>
          <w:szCs w:val="24"/>
          <w:rtl/>
        </w:rPr>
        <w:t xml:space="preserve">المجمع</w:t>
      </w:r>
      <w:r>
        <w:rPr>
          <w:rFonts w:ascii="Times New Roman" w:cs="Traditional Arabic" w:hAnsi="Times New Roman"/>
          <w:b w:val="false"/>
          <w:sz w:val="24"/>
          <w:szCs w:val="24"/>
          <w:rtl/>
        </w:rPr>
        <w:t xml:space="preserve">، 1، 1-26.</w:t>
      </w:r>
    </w:p>
  </w:footnote>
  <w:footnote w:id="5">
    <w:p>
      <w:pPr>
        <w:bidi/>
        <w:spacing w:line="240" w:lineRule="auto"/>
        <w:jc w:val="right"/>
      </w:pPr>
      <w:r>
        <w:rPr>
          <w:rStyle w:val="FootnoteReference"/>
        </w:rPr>
        <w:footnoteRef/>
      </w:r>
      <w:r>
        <w:rPr>
          <w:rFonts w:ascii="Times New Roman" w:cs="Traditional Arabic" w:hAnsi="Times New Roman"/>
          <w:b w:val="false"/>
          <w:sz w:val="24"/>
          <w:szCs w:val="24"/>
          <w:rtl/>
        </w:rPr>
        <w:t xml:space="preserve"> كتّاني، "الأدب كإطار للمعارف في الموروث العربيّ الكلاسيكيّ"، 3.</w:t>
      </w:r>
    </w:p>
  </w:footnote>
  <w:footnote w:id="6">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زكي،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وضيف، شوقي،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7">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أعلام هذه الصّناعة: كرد علي، محمّد، </w:t>
      </w:r>
      <w:r>
        <w:rPr>
          <w:rFonts w:ascii="Times New Roman" w:cs="Traditional Arabic" w:hAnsi="Times New Roman"/>
          <w:b/>
          <w:bCs/>
          <w:sz w:val="24"/>
          <w:szCs w:val="24"/>
          <w:rtl/>
        </w:rPr>
        <w:t xml:space="preserve">أمراء البيان</w:t>
      </w:r>
      <w:r>
        <w:rPr>
          <w:rFonts w:ascii="Times New Roman" w:cs="Traditional Arabic" w:hAnsi="Times New Roman"/>
          <w:b w:val="false"/>
          <w:sz w:val="24"/>
          <w:szCs w:val="24"/>
          <w:rtl/>
        </w:rPr>
        <w:t xml:space="preserve">، حيث ترجم لعشرة من كبار الكتّاب منهم عبد الحميد وابن المقفّع والجاحظ وابن العميد.</w:t>
      </w:r>
    </w:p>
  </w:footnote>
  <w:footnote w:id="8">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المقدسي، أنيس، </w:t>
      </w:r>
      <w:r>
        <w:rPr>
          <w:rFonts w:ascii="Times New Roman" w:cs="Traditional Arabic" w:hAnsi="Times New Roman"/>
          <w:b/>
          <w:bCs/>
          <w:sz w:val="24"/>
          <w:szCs w:val="24"/>
          <w:rtl/>
        </w:rPr>
        <w:t xml:space="preserve">تطوّر الأساليب النّثريّة في الأدب العربيّ</w:t>
      </w:r>
      <w:r>
        <w:rPr>
          <w:rFonts w:ascii="Times New Roman" w:cs="Traditional Arabic" w:hAnsi="Times New Roman"/>
          <w:b w:val="false"/>
          <w:sz w:val="24"/>
          <w:szCs w:val="24"/>
          <w:rtl/>
        </w:rPr>
        <w:t xml:space="preserve">، في مواضع متفرّقة من الكتاب.</w:t>
      </w:r>
    </w:p>
  </w:footnote>
  <w:footnote w:id="9">
    <w:p>
      <w:pPr>
        <w:bidi/>
        <w:spacing w:line="240" w:lineRule="auto"/>
        <w:jc w:val="right"/>
      </w:pPr>
      <w:r>
        <w:rPr>
          <w:rStyle w:val="FootnoteReference"/>
        </w:rPr>
        <w:footnoteRef/>
      </w:r>
      <w:r>
        <w:rPr>
          <w:rFonts w:ascii="Times New Roman" w:cs="Traditional Arabic" w:hAnsi="Times New Roman"/>
          <w:b w:val="false"/>
          <w:sz w:val="24"/>
          <w:szCs w:val="24"/>
          <w:rtl/>
        </w:rPr>
        <w:t xml:space="preserve"> مبارك، </w:t>
      </w:r>
      <w:r>
        <w:rPr>
          <w:rFonts w:ascii="Times New Roman" w:cs="Traditional Arabic" w:hAnsi="Times New Roman"/>
          <w:b/>
          <w:bCs/>
          <w:sz w:val="24"/>
          <w:szCs w:val="24"/>
          <w:rtl/>
        </w:rPr>
        <w:t xml:space="preserve">النّثر الفنّيّ في القرن الرّابع</w:t>
      </w:r>
      <w:r>
        <w:rPr>
          <w:rFonts w:ascii="Times New Roman" w:cs="Traditional Arabic" w:hAnsi="Times New Roman"/>
          <w:b w:val="false"/>
          <w:sz w:val="24"/>
          <w:szCs w:val="24"/>
          <w:rtl/>
        </w:rPr>
        <w:t xml:space="preserve">، الباب الأوّل؛ وانظر: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w:t>
      </w:r>
    </w:p>
  </w:footnote>
  <w:footnote w:id="1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هذا التّطوّر: ضيف، </w:t>
      </w:r>
      <w:r>
        <w:rPr>
          <w:rFonts w:ascii="Times New Roman" w:cs="Traditional Arabic" w:hAnsi="Times New Roman"/>
          <w:b/>
          <w:bCs/>
          <w:sz w:val="24"/>
          <w:szCs w:val="24"/>
          <w:rtl/>
        </w:rPr>
        <w:t xml:space="preserve">الفنّ ومذاهبه في النّثر العربيّ</w:t>
      </w:r>
      <w:r>
        <w:rPr>
          <w:rFonts w:ascii="Times New Roman" w:cs="Traditional Arabic" w:hAnsi="Times New Roman"/>
          <w:b w:val="false"/>
          <w:sz w:val="24"/>
          <w:szCs w:val="24"/>
          <w:rtl/>
        </w:rPr>
        <w:t xml:space="preserve">. ولا دليل على اطّلاع المعرّي على رسالة ابن شهيد الّتي سبقت الغفران بقليل.</w:t>
      </w:r>
    </w:p>
  </w:footnote>
  <w:footnote w:id="1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أحمد رجب،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12">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عناوين مصنّفاته في: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1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الواد، حسين، </w:t>
      </w:r>
      <w:r>
        <w:rPr>
          <w:rFonts w:ascii="Times New Roman" w:cs="Traditional Arabic" w:hAnsi="Times New Roman"/>
          <w:b/>
          <w:bCs/>
          <w:sz w:val="24"/>
          <w:szCs w:val="24"/>
          <w:rtl/>
        </w:rPr>
        <w:t xml:space="preserve">البنية القصصيّة في رسالة الغفران لأبي العلاء المعرّي</w:t>
      </w:r>
      <w:r>
        <w:rPr>
          <w:rFonts w:ascii="Times New Roman" w:cs="Traditional Arabic" w:hAnsi="Times New Roman"/>
          <w:b w:val="false"/>
          <w:sz w:val="24"/>
          <w:szCs w:val="24"/>
          <w:rtl/>
        </w:rPr>
        <w:t xml:space="preserve">، في مواضع متفرّقة. وقد عدّ عمله من أوائل الدّراسات الّتي عالجت نصًّا تراثيًّا بالمنهج البنيويّ.</w:t>
      </w:r>
    </w:p>
  </w:footnote>
  <w:footnote w:id="14">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تجديد ذكرى أبي العلاء</w:t>
      </w:r>
      <w:r>
        <w:rPr>
          <w:rFonts w:ascii="Times New Roman" w:cs="Traditional Arabic" w:hAnsi="Times New Roman"/>
          <w:b w:val="false"/>
          <w:sz w:val="24"/>
          <w:szCs w:val="24"/>
          <w:rtl/>
        </w:rPr>
        <w:t xml:space="preserve">؛ وانظر عرض ذلك في: توحيدي فر، نرجس، </w:t>
      </w:r>
      <w:r>
        <w:rPr>
          <w:rFonts w:ascii="Times New Roman" w:cs="Traditional Arabic" w:hAnsi="Times New Roman"/>
          <w:b/>
          <w:bCs/>
          <w:sz w:val="24"/>
          <w:szCs w:val="24"/>
          <w:rtl/>
        </w:rPr>
        <w:t xml:space="preserve">أبو العلاء المعرّي: دراسة في معتقداته الدّينيّة</w:t>
      </w:r>
      <w:r>
        <w:rPr>
          <w:rFonts w:ascii="Times New Roman" w:cs="Traditional Arabic" w:hAnsi="Times New Roman"/>
          <w:b w:val="false"/>
          <w:sz w:val="24"/>
          <w:szCs w:val="24"/>
          <w:rtl/>
        </w:rPr>
        <w:t xml:space="preserve">، 6.</w:t>
      </w:r>
    </w:p>
  </w:footnote>
  <w:footnote w:id="15">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 وانظر تفصيل الحياة الاقتصاديّة في عهده وما أصاب البلاد من قحط ووباء سنة 448هـ: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1/117.</w:t>
      </w:r>
    </w:p>
  </w:footnote>
  <w:footnote w:id="16">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بيئة العصر: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الفصل الأوّل.</w:t>
      </w:r>
    </w:p>
  </w:footnote>
  <w:footnote w:id="17">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1/37-38.</w:t>
      </w:r>
    </w:p>
  </w:footnote>
  <w:footnote w:id="1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1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0">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أبو العلاء،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21">
    <w:p>
      <w:pPr>
        <w:bidi/>
        <w:spacing w:line="240" w:lineRule="auto"/>
        <w:jc w:val="right"/>
      </w:pPr>
      <w:r>
        <w:rPr>
          <w:rStyle w:val="FootnoteReference"/>
        </w:rPr>
        <w:footnoteRef/>
      </w:r>
      <w:r>
        <w:rPr>
          <w:rFonts w:ascii="Times New Roman" w:cs="Traditional Arabic" w:hAnsi="Times New Roman"/>
          <w:b w:val="false"/>
          <w:sz w:val="24"/>
          <w:szCs w:val="24"/>
          <w:rtl/>
        </w:rPr>
        <w:t xml:space="preserve"> حسين، طه، </w:t>
      </w:r>
      <w:r>
        <w:rPr>
          <w:rFonts w:ascii="Times New Roman" w:cs="Traditional Arabic" w:hAnsi="Times New Roman"/>
          <w:b/>
          <w:bCs/>
          <w:sz w:val="24"/>
          <w:szCs w:val="24"/>
          <w:rtl/>
        </w:rPr>
        <w:t xml:space="preserve">مع أبي العلاء في سجنه</w:t>
      </w:r>
      <w:r>
        <w:rPr>
          <w:rFonts w:ascii="Times New Roman" w:cs="Traditional Arabic" w:hAnsi="Times New Roman"/>
          <w:b w:val="false"/>
          <w:sz w:val="24"/>
          <w:szCs w:val="24"/>
          <w:rtl/>
        </w:rPr>
        <w:t xml:space="preserve">.</w:t>
      </w:r>
    </w:p>
  </w:footnote>
  <w:footnote w:id="22">
    <w:p>
      <w:pPr>
        <w:bidi/>
        <w:spacing w:line="240" w:lineRule="auto"/>
        <w:jc w:val="right"/>
      </w:pPr>
      <w:r>
        <w:rPr>
          <w:rStyle w:val="FootnoteReference"/>
        </w:rPr>
        <w:footnoteRef/>
      </w:r>
      <w:r>
        <w:rPr>
          <w:rFonts w:ascii="Times New Roman" w:cs="Traditional Arabic" w:hAnsi="Times New Roman"/>
          <w:b w:val="false"/>
          <w:sz w:val="24"/>
          <w:szCs w:val="24"/>
          <w:rtl/>
        </w:rPr>
        <w:t xml:space="preserve"> الجندي، محمّد سليم،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1/57، حيث يناقش ما استنتجه المتأخّرون من كلام المعرّي من نتائج غريبة ويردّ عليها.</w:t>
      </w:r>
    </w:p>
  </w:footnote>
  <w:footnote w:id="23">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w:t>
      </w:r>
    </w:p>
  </w:footnote>
  <w:footnote w:id="2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5-6؛ وانظر ما جمعه الجندي ممّا قيل في فرط ذكائه وشدّة حفظه وضبطه لكلّ ما يسمع من أيّة لغة كانت: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1/543-544.</w:t>
      </w:r>
    </w:p>
  </w:footnote>
  <w:footnote w:id="2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26">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3-4 (التّقديم).</w:t>
      </w:r>
    </w:p>
  </w:footnote>
  <w:footnote w:id="27">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2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 وقد جرد الجندي الكتب والرّسائل الّتي ألّفت في الطّعن فيه أو الرّدّ عليه ودفع الظّلم عنه: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1/529-532.</w:t>
      </w:r>
    </w:p>
  </w:footnote>
  <w:footnote w:id="2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لزوم ما لا يلزم (اللزوميّات)</w:t>
      </w:r>
      <w:r>
        <w:rPr>
          <w:rFonts w:ascii="Times New Roman" w:cs="Traditional Arabic" w:hAnsi="Times New Roman"/>
          <w:b w:val="false"/>
          <w:sz w:val="24"/>
          <w:szCs w:val="24"/>
          <w:rtl/>
        </w:rPr>
        <w:t xml:space="preserve">.</w:t>
      </w:r>
    </w:p>
  </w:footnote>
  <w:footnote w:id="30">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 وانظر في خزانة كتبه وأخبارها: الجندي، </w:t>
      </w:r>
      <w:r>
        <w:rPr>
          <w:rFonts w:ascii="Times New Roman" w:cs="Traditional Arabic" w:hAnsi="Times New Roman"/>
          <w:b/>
          <w:bCs/>
          <w:sz w:val="24"/>
          <w:szCs w:val="24"/>
          <w:rtl/>
        </w:rPr>
        <w:t xml:space="preserve">الجامع في أخبار أبي العلاء المعرّي وآثاره</w:t>
      </w:r>
      <w:r>
        <w:rPr>
          <w:rFonts w:ascii="Times New Roman" w:cs="Traditional Arabic" w:hAnsi="Times New Roman"/>
          <w:b w:val="false"/>
          <w:sz w:val="24"/>
          <w:szCs w:val="24"/>
          <w:rtl/>
        </w:rPr>
        <w:t xml:space="preserve">، 1/563-564.</w:t>
      </w:r>
    </w:p>
  </w:footnote>
  <w:footnote w:id="3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3">
    <w:p>
      <w:pPr>
        <w:bidi/>
        <w:spacing w:line="240" w:lineRule="auto"/>
        <w:jc w:val="right"/>
      </w:pPr>
      <w:r>
        <w:rPr>
          <w:rStyle w:val="FootnoteReference"/>
        </w:rPr>
        <w:footnoteRef/>
      </w:r>
      <w:r>
        <w:rPr>
          <w:rFonts w:ascii="Times New Roman" w:cs="Traditional Arabic" w:hAnsi="Times New Roman"/>
          <w:b w:val="false"/>
          <w:sz w:val="24"/>
          <w:szCs w:val="24"/>
          <w:rtl/>
        </w:rPr>
        <w:t xml:space="preserve"> توحيدي فر، </w:t>
      </w:r>
      <w:r>
        <w:rPr>
          <w:rFonts w:ascii="Times New Roman" w:cs="Traditional Arabic" w:hAnsi="Times New Roman"/>
          <w:b/>
          <w:bCs/>
          <w:sz w:val="24"/>
          <w:szCs w:val="24"/>
          <w:rtl/>
        </w:rPr>
        <w:t xml:space="preserve">أبو العلاء المعرّي</w:t>
      </w:r>
      <w:r>
        <w:rPr>
          <w:rFonts w:ascii="Times New Roman" w:cs="Traditional Arabic" w:hAnsi="Times New Roman"/>
          <w:b w:val="false"/>
          <w:sz w:val="24"/>
          <w:szCs w:val="24"/>
          <w:rtl/>
        </w:rPr>
        <w:t xml:space="preserve">، 3 (التّقديم).</w:t>
      </w:r>
    </w:p>
  </w:footnote>
  <w:footnote w:id="3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w:t>
      </w:r>
    </w:p>
  </w:footnote>
  <w:footnote w:id="3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10.</w:t>
      </w:r>
    </w:p>
  </w:footnote>
  <w:footnote w:id="3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w:t>
      </w:r>
    </w:p>
  </w:footnote>
  <w:footnote w:id="3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ويرى الباحث في هذه السّمة الأخيرة، أي الرّيبة من صورة الدّين لا من الدّين ذاته، مفتاحًا لفهم سخرية الرّسالة كلّها كما سيتّضح في الفصل الثّالث.</w:t>
      </w:r>
    </w:p>
  </w:footnote>
  <w:footnote w:id="3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 وانظر دراستها المستقلّة: عبد الرّحمن، عائشة (بنت الشّاطئ)، </w:t>
      </w:r>
      <w:r>
        <w:rPr>
          <w:rFonts w:ascii="Times New Roman" w:cs="Traditional Arabic" w:hAnsi="Times New Roman"/>
          <w:b/>
          <w:bCs/>
          <w:sz w:val="24"/>
          <w:szCs w:val="24"/>
          <w:rtl/>
        </w:rPr>
        <w:t xml:space="preserve">الغفران لأبي العلاء المعرّي: دراسة نقديّة</w:t>
      </w:r>
      <w:r>
        <w:rPr>
          <w:rFonts w:ascii="Times New Roman" w:cs="Traditional Arabic" w:hAnsi="Times New Roman"/>
          <w:b w:val="false"/>
          <w:sz w:val="24"/>
          <w:szCs w:val="24"/>
          <w:rtl/>
        </w:rPr>
        <w:t xml:space="preserve">.</w:t>
      </w:r>
    </w:p>
  </w:footnote>
  <w:footnote w:id="39">
    <w:p>
      <w:pPr>
        <w:bidi/>
        <w:spacing w:line="240" w:lineRule="auto"/>
        <w:jc w:val="right"/>
      </w:pPr>
      <w:r>
        <w:rPr>
          <w:rStyle w:val="FootnoteReference"/>
        </w:rPr>
        <w:footnoteRef/>
      </w:r>
      <w:r>
        <w:rPr>
          <w:rFonts w:ascii="Times New Roman" w:cs="Traditional Arabic" w:hAnsi="Times New Roman"/>
          <w:b w:val="false"/>
          <w:sz w:val="24"/>
          <w:szCs w:val="24"/>
          <w:rtl/>
        </w:rPr>
        <w:t xml:space="preserve"> Nicholson, R. A., </w:t>
      </w:r>
      <w:r>
        <w:rPr>
          <w:rFonts w:ascii="Times New Roman" w:cs="Traditional Arabic" w:hAnsi="Times New Roman"/>
          <w:b/>
          <w:bCs/>
          <w:sz w:val="24"/>
          <w:szCs w:val="24"/>
          <w:rtl/>
        </w:rPr>
        <w:t xml:space="preserve">Studies in Islamic Poetry</w:t>
      </w:r>
      <w:r>
        <w:rPr>
          <w:rFonts w:ascii="Times New Roman" w:cs="Traditional Arabic" w:hAnsi="Times New Roman"/>
          <w:b w:val="false"/>
          <w:sz w:val="24"/>
          <w:szCs w:val="24"/>
          <w:rtl/>
        </w:rPr>
        <w:t xml:space="preserve">.</w:t>
      </w:r>
    </w:p>
  </w:footnote>
  <w:footnote w:id="40">
    <w:p>
      <w:pPr>
        <w:bidi/>
        <w:spacing w:line="240" w:lineRule="auto"/>
        <w:jc w:val="right"/>
      </w:pPr>
      <w:r>
        <w:rPr>
          <w:rStyle w:val="FootnoteReference"/>
        </w:rPr>
        <w:footnoteRef/>
      </w:r>
      <w:r>
        <w:rPr>
          <w:rFonts w:ascii="Times New Roman" w:cs="Traditional Arabic" w:hAnsi="Times New Roman"/>
          <w:b w:val="false"/>
          <w:sz w:val="24"/>
          <w:szCs w:val="24"/>
          <w:rtl/>
        </w:rPr>
        <w:t xml:space="preserve"> Al-Maʿarrī, </w:t>
      </w:r>
      <w:r>
        <w:rPr>
          <w:rFonts w:ascii="Times New Roman" w:cs="Traditional Arabic" w:hAnsi="Times New Roman"/>
          <w:b/>
          <w:bCs/>
          <w:sz w:val="24"/>
          <w:szCs w:val="24"/>
          <w:rtl/>
        </w:rPr>
        <w:t xml:space="preserve">The Epistle of Forgiveness</w:t>
      </w:r>
      <w:r>
        <w:rPr>
          <w:rFonts w:ascii="Times New Roman" w:cs="Traditional Arabic" w:hAnsi="Times New Roman"/>
          <w:b w:val="false"/>
          <w:sz w:val="24"/>
          <w:szCs w:val="24"/>
          <w:rtl/>
        </w:rPr>
        <w:t xml:space="preserve"> (trans. van Gelder &amp; Schoeler).</w:t>
      </w:r>
    </w:p>
  </w:footnote>
  <w:footnote w:id="41">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عماد محمود، "أثر رسالة الغفران لأبي العلاء المعرّي في الكوميديا الإلهيّة لدانتي"، </w:t>
      </w:r>
      <w:r>
        <w:rPr>
          <w:rFonts w:ascii="Times New Roman" w:cs="Traditional Arabic" w:hAnsi="Times New Roman"/>
          <w:b/>
          <w:bCs/>
          <w:sz w:val="24"/>
          <w:szCs w:val="24"/>
          <w:rtl/>
        </w:rPr>
        <w:t xml:space="preserve">مجلّة الجامعة الإسلاميّة للبحوث الإنسانيّة</w:t>
      </w:r>
      <w:r>
        <w:rPr>
          <w:rFonts w:ascii="Times New Roman" w:cs="Traditional Arabic" w:hAnsi="Times New Roman"/>
          <w:b w:val="false"/>
          <w:sz w:val="24"/>
          <w:szCs w:val="24"/>
          <w:rtl/>
        </w:rPr>
        <w:t xml:space="preserve">، 23(2)، 1؛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w:t>
      </w:r>
    </w:p>
  </w:footnote>
  <w:footnote w:id="42">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1345-1346.</w:t>
      </w:r>
    </w:p>
  </w:footnote>
  <w:footnote w:id="43">
    <w:p>
      <w:pPr>
        <w:bidi/>
        <w:spacing w:line="240" w:lineRule="auto"/>
        <w:jc w:val="right"/>
      </w:pPr>
      <w:r>
        <w:rPr>
          <w:rStyle w:val="FootnoteReference"/>
        </w:rPr>
        <w:footnoteRef/>
      </w:r>
      <w:r>
        <w:rPr>
          <w:rFonts w:ascii="Times New Roman" w:cs="Traditional Arabic" w:hAnsi="Times New Roman"/>
          <w:b w:val="false"/>
          <w:sz w:val="24"/>
          <w:szCs w:val="24"/>
          <w:rtl/>
        </w:rPr>
        <w:t xml:space="preserve"> طه، نعمان محمّد أمين، </w:t>
      </w:r>
      <w:r>
        <w:rPr>
          <w:rFonts w:ascii="Times New Roman" w:cs="Traditional Arabic" w:hAnsi="Times New Roman"/>
          <w:b/>
          <w:bCs/>
          <w:sz w:val="24"/>
          <w:szCs w:val="24"/>
          <w:rtl/>
        </w:rPr>
        <w:t xml:space="preserve">السّخرية في الأدب العربيّ حتّى نهاية القرن الرّابع الهجريّ</w:t>
      </w:r>
      <w:r>
        <w:rPr>
          <w:rFonts w:ascii="Times New Roman" w:cs="Traditional Arabic" w:hAnsi="Times New Roman"/>
          <w:b w:val="false"/>
          <w:sz w:val="24"/>
          <w:szCs w:val="24"/>
          <w:rtl/>
        </w:rPr>
        <w:t xml:space="preserve">.</w:t>
      </w:r>
    </w:p>
  </w:footnote>
  <w:footnote w:id="44">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في مواضع متفرّقة من الكتاب.</w:t>
      </w:r>
    </w:p>
  </w:footnote>
  <w:footnote w:id="45">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46">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7">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48">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 مع تحفّظه على إخضاع النّصّ كلّه للتّحليل النّفسيّ.</w:t>
      </w:r>
    </w:p>
  </w:footnote>
  <w:footnote w:id="49">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0">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53-58 و63. ولعلّ القارئ المعاصر يلمح في هذه المشاهد نقدًا مبكّرًا للوساطات والمحسوبيّات.</w:t>
      </w:r>
    </w:p>
  </w:footnote>
  <w:footnote w:id="5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54.</w:t>
      </w:r>
    </w:p>
  </w:footnote>
  <w:footnote w:id="5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54.</w:t>
      </w:r>
    </w:p>
  </w:footnote>
  <w:footnote w:id="53">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54-55.</w:t>
      </w:r>
    </w:p>
  </w:footnote>
  <w:footnote w:id="54">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53-72. وقارن: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w:t>
      </w:r>
    </w:p>
  </w:footnote>
  <w:footnote w:id="55">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28-29؛ والبيت من معلّقة زهير بن أبي سلمى.</w:t>
      </w:r>
    </w:p>
  </w:footnote>
  <w:footnote w:id="5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27-29. وفي هذا الغفران المنقوص سخرية بالغة: نعيم كامل إلّا من الشّيء الّذي عُرف به صاحبه في الدّنيا.</w:t>
      </w:r>
    </w:p>
  </w:footnote>
  <w:footnote w:id="57">
    <w:p>
      <w:pPr>
        <w:bidi/>
        <w:spacing w:line="240" w:lineRule="auto"/>
        <w:jc w:val="right"/>
      </w:pPr>
      <w:r>
        <w:rPr>
          <w:rStyle w:val="FootnoteReference"/>
        </w:rPr>
        <w:footnoteRef/>
      </w:r>
      <w:r>
        <w:rPr>
          <w:rFonts w:ascii="Times New Roman" w:cs="Traditional Arabic" w:hAnsi="Times New Roman"/>
          <w:b w:val="false"/>
          <w:sz w:val="24"/>
          <w:szCs w:val="24"/>
          <w:rtl/>
        </w:rPr>
        <w:t xml:space="preserve"> تعدّ هذه المحاورات مصدرًا مهمًّا لدراسة النّقد الأدبيّ القديم: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7-8.</w:t>
      </w:r>
    </w:p>
  </w:footnote>
  <w:footnote w:id="58">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36-38 (محاورة آدم)، و73-76 (جنّة العفاريت وأبو هدرش).</w:t>
      </w:r>
    </w:p>
  </w:footnote>
  <w:footnote w:id="59">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w:t>
      </w:r>
    </w:p>
  </w:footnote>
  <w:footnote w:id="60">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27.</w:t>
      </w:r>
    </w:p>
  </w:footnote>
  <w:footnote w:id="61">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29.</w:t>
      </w:r>
    </w:p>
  </w:footnote>
  <w:footnote w:id="62">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34، و23-52؛ وانظر: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w:t>
      </w:r>
    </w:p>
  </w:footnote>
  <w:footnote w:id="63">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87-95 (الجحيم: محاورة إبليس وإطلالة الخنساء).</w:t>
      </w:r>
    </w:p>
  </w:footnote>
  <w:footnote w:id="64">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w:t>
      </w:r>
    </w:p>
  </w:footnote>
  <w:footnote w:id="65">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117 وما بعدها (الرّدّ على رسالة ابن القارح). وقد كان المعرّي يلقّب نفسه في رسائله بألقاب التّصاغر، وفي هذا التّصاغر المعلن وجه من وجوه سخريته المزدوجة.</w:t>
      </w:r>
    </w:p>
  </w:footnote>
  <w:footnote w:id="66">
    <w:p>
      <w:pPr>
        <w:bidi/>
        <w:spacing w:line="240" w:lineRule="auto"/>
        <w:jc w:val="right"/>
      </w:pPr>
      <w:r>
        <w:rPr>
          <w:rStyle w:val="FootnoteReference"/>
        </w:rPr>
        <w:footnoteRef/>
      </w:r>
      <w:r>
        <w:rPr>
          <w:rFonts w:ascii="Times New Roman" w:cs="Traditional Arabic" w:hAnsi="Times New Roman"/>
          <w:b w:val="false"/>
          <w:sz w:val="24"/>
          <w:szCs w:val="24"/>
          <w:rtl/>
        </w:rPr>
        <w:t xml:space="preserve"> المعرّي، </w:t>
      </w:r>
      <w:r>
        <w:rPr>
          <w:rFonts w:ascii="Times New Roman" w:cs="Traditional Arabic" w:hAnsi="Times New Roman"/>
          <w:b/>
          <w:bCs/>
          <w:sz w:val="24"/>
          <w:szCs w:val="24"/>
          <w:rtl/>
        </w:rPr>
        <w:t xml:space="preserve">رسالة الغفران</w:t>
      </w:r>
      <w:r>
        <w:rPr>
          <w:rFonts w:ascii="Times New Roman" w:cs="Traditional Arabic" w:hAnsi="Times New Roman"/>
          <w:b w:val="false"/>
          <w:sz w:val="24"/>
          <w:szCs w:val="24"/>
          <w:rtl/>
        </w:rPr>
        <w:t xml:space="preserve"> (تحقيق كيلاني)، 133.</w:t>
      </w:r>
    </w:p>
  </w:footnote>
  <w:footnote w:id="67">
    <w:p>
      <w:pPr>
        <w:bidi/>
        <w:spacing w:line="240" w:lineRule="auto"/>
        <w:jc w:val="right"/>
      </w:pPr>
      <w:r>
        <w:rPr>
          <w:rStyle w:val="FootnoteReference"/>
        </w:rPr>
        <w:footnoteRef/>
      </w:r>
      <w:r>
        <w:rPr>
          <w:rFonts w:ascii="Times New Roman" w:cs="Traditional Arabic" w:hAnsi="Times New Roman"/>
          <w:b w:val="false"/>
          <w:sz w:val="24"/>
          <w:szCs w:val="24"/>
          <w:rtl/>
        </w:rPr>
        <w:t xml:space="preserve">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وانظر تطبيقه على مطلع الغفران: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9-10، حيث المقدّمة المادحة لرسالة ابن القارح "الكلمة الطّيّبة" تحمل في سياقها العامّ معنى الامتحان.</w:t>
      </w:r>
    </w:p>
  </w:footnote>
  <w:footnote w:id="68">
    <w:p>
      <w:pPr>
        <w:bidi/>
        <w:spacing w:line="240" w:lineRule="auto"/>
        <w:jc w:val="right"/>
      </w:pPr>
      <w:r>
        <w:rPr>
          <w:rStyle w:val="FootnoteReference"/>
        </w:rPr>
        <w:footnoteRef/>
      </w:r>
      <w:r>
        <w:rPr>
          <w:rFonts w:ascii="Times New Roman" w:cs="Traditional Arabic" w:hAnsi="Times New Roman"/>
          <w:b w:val="false"/>
          <w:sz w:val="24"/>
          <w:szCs w:val="24"/>
          <w:rtl/>
        </w:rPr>
        <w:t xml:space="preserve"> بن قيراط، حنان، "فلسفة السّخرية في رسالة الغفران لأبي العلاء المعرّي"، </w:t>
      </w:r>
      <w:r>
        <w:rPr>
          <w:rFonts w:ascii="Times New Roman" w:cs="Traditional Arabic" w:hAnsi="Times New Roman"/>
          <w:b/>
          <w:bCs/>
          <w:sz w:val="24"/>
          <w:szCs w:val="24"/>
          <w:rtl/>
        </w:rPr>
        <w:t xml:space="preserve">مجلّة الحكمة للدّراسات الفلسفيّة</w:t>
      </w:r>
      <w:r>
        <w:rPr>
          <w:rFonts w:ascii="Times New Roman" w:cs="Traditional Arabic" w:hAnsi="Times New Roman"/>
          <w:b w:val="false"/>
          <w:sz w:val="24"/>
          <w:szCs w:val="24"/>
          <w:rtl/>
        </w:rPr>
        <w:t xml:space="preserve">، 1344-1346.</w:t>
      </w:r>
    </w:p>
  </w:footnote>
  <w:footnote w:id="69">
    <w:p>
      <w:pPr>
        <w:bidi/>
        <w:spacing w:line="240" w:lineRule="auto"/>
        <w:jc w:val="right"/>
      </w:pPr>
      <w:r>
        <w:rPr>
          <w:rStyle w:val="FootnoteReference"/>
        </w:rPr>
        <w:footnoteRef/>
      </w:r>
      <w:r>
        <w:rPr>
          <w:rFonts w:ascii="Times New Roman" w:cs="Traditional Arabic" w:hAnsi="Times New Roman"/>
          <w:b w:val="false"/>
          <w:sz w:val="24"/>
          <w:szCs w:val="24"/>
          <w:rtl/>
        </w:rPr>
        <w:t xml:space="preserve"> العقّاد، عبّاس محمود، </w:t>
      </w:r>
      <w:r>
        <w:rPr>
          <w:rFonts w:ascii="Times New Roman" w:cs="Traditional Arabic" w:hAnsi="Times New Roman"/>
          <w:b/>
          <w:bCs/>
          <w:sz w:val="24"/>
          <w:szCs w:val="24"/>
          <w:rtl/>
        </w:rPr>
        <w:t xml:space="preserve">مطالعات في الكتب والحياة</w:t>
      </w:r>
      <w:r>
        <w:rPr>
          <w:rFonts w:ascii="Times New Roman" w:cs="Traditional Arabic" w:hAnsi="Times New Roman"/>
          <w:b w:val="false"/>
          <w:sz w:val="24"/>
          <w:szCs w:val="24"/>
          <w:rtl/>
        </w:rPr>
        <w:t xml:space="preserve">، فصل "السّخر في رسالة الغفران".</w:t>
      </w:r>
    </w:p>
  </w:footnote>
  <w:footnote w:id="70">
    <w:p>
      <w:pPr>
        <w:bidi/>
        <w:spacing w:line="240" w:lineRule="auto"/>
        <w:jc w:val="right"/>
      </w:pPr>
      <w:r>
        <w:rPr>
          <w:rStyle w:val="FootnoteReference"/>
        </w:rPr>
        <w:footnoteRef/>
      </w:r>
      <w:r>
        <w:rPr>
          <w:rFonts w:ascii="Times New Roman" w:cs="Traditional Arabic" w:hAnsi="Times New Roman"/>
          <w:b w:val="false"/>
          <w:sz w:val="24"/>
          <w:szCs w:val="24"/>
          <w:rtl/>
        </w:rPr>
        <w:t xml:space="preserve"> انظر في سخرية الجاحظ: طه، </w:t>
      </w:r>
      <w:r>
        <w:rPr>
          <w:rFonts w:ascii="Times New Roman" w:cs="Traditional Arabic" w:hAnsi="Times New Roman"/>
          <w:b/>
          <w:bCs/>
          <w:sz w:val="24"/>
          <w:szCs w:val="24"/>
          <w:rtl/>
        </w:rPr>
        <w:t xml:space="preserve">السّخرية في الأدب العربيّ</w:t>
      </w:r>
      <w:r>
        <w:rPr>
          <w:rFonts w:ascii="Times New Roman" w:cs="Traditional Arabic" w:hAnsi="Times New Roman"/>
          <w:b w:val="false"/>
          <w:sz w:val="24"/>
          <w:szCs w:val="24"/>
          <w:rtl/>
        </w:rPr>
        <w:t xml:space="preserve">. والموازنة المذكورة هنا من استنتاج الباحث بناءً على ما تقدّم في الفصل.</w:t>
      </w:r>
    </w:p>
  </w:footnote>
  <w:footnote w:id="71">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8-9.</w:t>
      </w:r>
    </w:p>
  </w:footnote>
  <w:footnote w:id="72">
    <w:p>
      <w:pPr>
        <w:bidi/>
        <w:spacing w:line="240" w:lineRule="auto"/>
        <w:jc w:val="right"/>
      </w:pPr>
      <w:r>
        <w:rPr>
          <w:rStyle w:val="FootnoteReference"/>
        </w:rPr>
        <w:footnoteRef/>
      </w:r>
      <w:r>
        <w:rPr>
          <w:rFonts w:ascii="Times New Roman" w:cs="Traditional Arabic" w:hAnsi="Times New Roman"/>
          <w:b w:val="false"/>
          <w:sz w:val="24"/>
          <w:szCs w:val="24"/>
          <w:rtl/>
        </w:rPr>
        <w:t xml:space="preserve"> شلتوت، </w:t>
      </w:r>
      <w:r>
        <w:rPr>
          <w:rFonts w:ascii="Times New Roman" w:cs="Traditional Arabic" w:hAnsi="Times New Roman"/>
          <w:b/>
          <w:bCs/>
          <w:sz w:val="24"/>
          <w:szCs w:val="24"/>
          <w:rtl/>
        </w:rPr>
        <w:t xml:space="preserve">تقديم مختارات من رسالة الغفران</w:t>
      </w:r>
      <w:r>
        <w:rPr>
          <w:rFonts w:ascii="Times New Roman" w:cs="Traditional Arabic" w:hAnsi="Times New Roman"/>
          <w:b w:val="false"/>
          <w:sz w:val="24"/>
          <w:szCs w:val="24"/>
          <w:rtl/>
        </w:rPr>
        <w:t xml:space="preserve">، 6-7. وهذا الاستنتاج في نقله عن شلتوت لا يعني تبنّيه؛ فالمسألة خلافيّة كما يتّضح تاليًا.</w:t>
      </w:r>
    </w:p>
  </w:footnote>
  <w:footnote w:id="73">
    <w:p>
      <w:pPr>
        <w:bidi/>
        <w:spacing w:line="240" w:lineRule="auto"/>
        <w:jc w:val="right"/>
      </w:pPr>
      <w:r>
        <w:rPr>
          <w:rStyle w:val="FootnoteReference"/>
        </w:rPr>
        <w:footnoteRef/>
      </w:r>
      <w:r>
        <w:rPr>
          <w:rFonts w:ascii="Times New Roman" w:cs="Traditional Arabic" w:hAnsi="Times New Roman"/>
          <w:b w:val="false"/>
          <w:sz w:val="24"/>
          <w:szCs w:val="24"/>
          <w:rtl/>
        </w:rPr>
        <w:t xml:space="preserve"> أبو رحمة، "أثر رسالة الغفران لأبي العلاء المعرّي في الكوميديا الإلهيّة لدانتي"، 1 (ملخّص البحث).</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raditional Arabic" w:hAnsi="Times New Roman"/>
        <w:sz w:val="32"/>
        <w:szCs w:val="32"/>
        <w:lang w:val="en-US"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rPr>
  </w:style>
  <w:style w:type="paragraph" w:styleId="Heading2">
    <w:name w:val="Heading 2"/>
    <w:basedOn w:val="Normal"/>
    <w:next w:val="Normal"/>
    <w:qFormat/>
    <w:rPr>
      <w:b/>
      <w:bCs/>
      <w:color w:val="000000"/>
    </w:rPr>
  </w:style>
  <w:style w:type="paragraph" w:styleId="Heading3">
    <w:name w:val="Heading 3"/>
    <w:basedOn w:val="Normal"/>
    <w:next w:val="Normal"/>
    <w:qFormat/>
    <w:rPr>
      <w:b/>
      <w:bCs/>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ecaf26581e153dde661010a0b6699c66e3a5ef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2026-08-17T18:17:24.730Z</dcterms:created>
  <dcterms:modified xsi:type="dcterms:W3CDTF">2026-08-17T18:17:24.743Z</dcterms:modified>
</cp:coreProperties>
</file>

<file path=docProps/custom.xml><?xml version="1.0" encoding="utf-8"?>
<Properties xmlns="http://schemas.openxmlformats.org/officeDocument/2006/custom-properties" xmlns:vt="http://schemas.openxmlformats.org/officeDocument/2006/docPropsVTypes"/>
</file>