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bidi/>
        <w:spacing w:after="160" w:before="0"/>
        <w:jc w:val="center"/>
      </w:pPr>
      <w:r>
        <w:rPr>
          <w:rFonts w:ascii="David" w:cs="David" w:eastAsia="David" w:hAnsi="David"/>
          <w:b/>
          <w:bCs/>
          <w:i w:val="false"/>
          <w:iCs w:val="false"/>
          <w:noProof/>
          <w:color w:val="000000"/>
          <w:sz w:val="30"/>
          <w:szCs w:val="30"/>
          <w:rtl/>
        </w:rPr>
        <w:t xml:space="preserve">המרכז האקדמי פרס</w:t>
      </w:r>
    </w:p>
    <w:p>
      <w:pPr>
        <w:bidi/>
        <w:spacing w:after="900" w:before="0"/>
        <w:jc w:val="center"/>
      </w:pPr>
      <w:r>
        <w:rPr>
          <w:rFonts w:ascii="David" w:cs="David" w:eastAsia="David" w:hAnsi="David"/>
          <w:b/>
          <w:bCs/>
          <w:i w:val="false"/>
          <w:iCs w:val="false"/>
          <w:noProof/>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noProof/>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noProof/>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noProof/>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noProof/>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noProof/>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noProof/>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noProof/>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F(2,30)=5.14, p=.012, η²=.26, כך שקבוצת חוויית השליטה (M=4.05, SD=0.57) דיווחה על חוללות גבוהה יותר מקבוצת הביקורת (M=3.30, SD=0.56).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noProof/>
          <w:color w:val="000000"/>
          <w:sz w:val="24"/>
          <w:szCs w:val="24"/>
          <w:rtl/>
        </w:rPr>
        <w:t xml:space="preserve">מילות מפתח: </w:t>
      </w:r>
      <w:r>
        <w:rPr>
          <w:rFonts w:ascii="David" w:cs="David" w:eastAsia="David" w:hAnsi="David"/>
          <w:b w:val="false"/>
          <w:bCs w:val="false"/>
          <w:i w:val="false"/>
          <w:iCs w:val="false"/>
          <w:noProof/>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מבוא</w:t>
      </w:r>
    </w:p>
    <w:p>
      <w:pPr>
        <w:bidi/>
        <w:spacing w:after="160" w:before="0" w:line="360"/>
        <w:jc w:val="both"/>
      </w:pPr>
      <w:r>
        <w:rPr>
          <w:rFonts w:ascii="David" w:cs="David" w:eastAsia="David" w:hAnsi="David"/>
          <w:b w:val="false"/>
          <w:bCs w:val="false"/>
          <w:i w:val="false"/>
          <w:iCs w:val="false"/>
          <w:noProof/>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noProof/>
          <w:color w:val="000000"/>
          <w:sz w:val="24"/>
          <w:szCs w:val="24"/>
          <w:rtl/>
        </w:rPr>
        <w:t xml:space="preserve">על-פי המודל, תחושת החוללות נבנית מארבעה מקורות מרכזיים, הנבדלים זה מזה בעוצמת השפעתם. המקור הראשון והחזק ביותר הוא חוויות שליטה (mastery experiences), כלומר התנסויות ישירות של הצלחה בביצוע משימות. חוויות אלה משפיעות יותר מכל מקור אחר משום שהן מספקות לאדם עדות אותנטית ובלתי-אמצעית ליכולתו: הצלחות חוזרות מבססות אמונה יציבה במסוגלות, בעוד שכישלונות, בעיקר כשהם מתרחשים בטרם התגבשה תחושת מסוגלות מוצקה, עלולים לערער אותה. עם זאת, ההשפעה אינה אוטומטית, והיא תלויה באופן שבו האדם מפרש את ההצלחה ומייחס אותה למאמצו ולכישוריו (Bandura, 1997; Artino, 2012).</w:t>
      </w:r>
    </w:p>
    <w:p>
      <w:pPr>
        <w:bidi/>
        <w:spacing w:after="160" w:before="0" w:line="360"/>
        <w:jc w:val="both"/>
      </w:pPr>
      <w:r>
        <w:rPr>
          <w:rFonts w:ascii="David" w:cs="David" w:eastAsia="David" w:hAnsi="David"/>
          <w:b w:val="false"/>
          <w:bCs w:val="false"/>
          <w:i w:val="false"/>
          <w:iCs w:val="false"/>
          <w:noProof/>
          <w:color w:val="000000"/>
          <w:sz w:val="24"/>
          <w:szCs w:val="24"/>
          <w:rtl/>
        </w:rPr>
        <w:t xml:space="preserve">שלושת המקורות הנוספים תורמים אף הם, אך במידה פחותה. חוויות עקיפות (vicarious experiences) נוצרות מהתבוננות באחרים המבצעים משימה בהצלחה, והשפעתן תלויה במידת הדמיון הנתפס בין הצופה למודל: ככל שהמודל נתפס דומה יותר לצופה מבחינת יכולת ורקע, כך גוברת השפעתו על אמונת המסוגלות. שכנוע מילולי, בדמות עידוד ומשוב מהסביבה, יכול לחזק זמנית את תחושת המסוגלות, אך השפעתו מוגבלת כאשר אינה נתמכת בהתנסות ממשית. לבסוף, מצבים גופניים ורגשיים, והפרשנות שאדם נותן להם, משמשים גם הם מקור מידע לגבי יכולתו, כך שעוררות המתפרשת כמתח עלולה להחליש את תחושת המסוגלות ואילו עוררות המתפרשת כמוכנות עשויה לחזקה (Bandura, 1997).</w:t>
      </w:r>
    </w:p>
    <w:p>
      <w:pPr>
        <w:bidi/>
        <w:spacing w:after="160" w:before="0" w:line="360"/>
        <w:jc w:val="both"/>
      </w:pPr>
      <w:r>
        <w:rPr>
          <w:rFonts w:ascii="David" w:cs="David" w:eastAsia="David" w:hAnsi="David"/>
          <w:b w:val="false"/>
          <w:bCs w:val="false"/>
          <w:i w:val="false"/>
          <w:iCs w:val="false"/>
          <w:noProof/>
          <w:color w:val="000000"/>
          <w:sz w:val="24"/>
          <w:szCs w:val="24"/>
          <w:rtl/>
        </w:rPr>
        <w:t xml:space="preserve">כדי להבין את המושג לעומק חשוב להבחין בינו לבין מושגים קרובים. בניגוד להערכה עצמית (self-esteem), העוסקת בתחושת הערך הכללית של האדם כלפי עצמו, החוללות העצמית ממוקדת באמונה ביכולת לבצע משימה נתונה. היא נבדלת גם מציפיות התוצאה (outcome expectations), שהן ההערכה בדבר התוצאה שתיגזר מהתנהגות מסוימת, בעוד שהחוללות עוסקת באמונה ביכולת לבצע את ההתנהגות עצמה. הבחנות אלה אינן סמנטיות בלבד, שכן דווקא האמונה הממוקדת ביכולת הביצוע נמצאה מנבא חזק במיוחד של מוטיבציה, בחירת מטלות והתמדה (Artino, 2012).</w:t>
      </w:r>
    </w:p>
    <w:p>
      <w:pPr>
        <w:bidi/>
        <w:spacing w:after="160" w:before="0" w:line="360"/>
        <w:jc w:val="both"/>
      </w:pPr>
      <w:r>
        <w:rPr>
          <w:rFonts w:ascii="David" w:cs="David" w:eastAsia="David" w:hAnsi="David"/>
          <w:b w:val="false"/>
          <w:bCs w:val="false"/>
          <w:i w:val="false"/>
          <w:iCs w:val="false"/>
          <w:noProof/>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noProof/>
          <w:color w:val="000000"/>
          <w:sz w:val="24"/>
          <w:szCs w:val="24"/>
          <w:rtl/>
        </w:rPr>
        <w:t xml:space="preserve">מחקרים חוצי-תרבות המשיכו לתמוך בתוקף ובמהימנות של הכלי. כך, תיקוף עדכני של הגרסה האיטלקית של ה-NGSE, שנערך על 811 משתתפים, אישר מבנה חד-גורמי, התאמה טובה של המודל לנתונים ומהימנות גבוהה, וחיזק את יישום השאלון בשפות ובתרבויות שונות (Rossi et al., 2025).</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noProof/>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noProof/>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noProof/>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noProof/>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noProof/>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noProof/>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noProof/>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המשתנה הבלתי-תלוי במחקר הוא סוג מקור החוללות, בעל שלוש רמות (חוויית שליטה, חשיפה עקיפה וביקורת), והמשתנה התלוי הוא תחושת המסוגלות, שנמדדה בשני מדדים: חוללות עצמית כללית (NGSE) ותחושת המסוגלות של המורה (TSES).</w:t>
      </w:r>
    </w:p>
    <w:p>
      <w:pPr>
        <w:bidi/>
        <w:spacing w:after="80" w:before="0" w:line="360"/>
        <w:jc w:val="both"/>
      </w:pPr>
      <w:r>
        <w:rPr>
          <w:rFonts w:ascii="David" w:cs="David" w:eastAsia="David" w:hAnsi="David"/>
          <w:b w:val="false"/>
          <w:bCs w:val="false"/>
          <w:i w:val="false"/>
          <w:iCs w:val="false"/>
          <w:noProof/>
          <w:color w:val="000000"/>
          <w:sz w:val="24"/>
          <w:szCs w:val="24"/>
          <w:rtl/>
        </w:rPr>
        <w:t xml:space="preserve">על סמך הרקע התיאורטי, ובעיקר טענתו של בנדורה כי חוויות שליטה הן המקור החזק ביותר לחוללות עצמית, נוסחו ארבע השערות. שלוש הראשונות מתייחסות לשני מדדי המסוגלות (חוללות עצמית כללית ותחושת המסוגלות של המורה) כאחד:</w:t>
      </w:r>
    </w:p>
    <w:p>
      <w:pPr>
        <w:bidi/>
        <w:spacing w:after="160" w:before="0" w:line="360"/>
        <w:jc w:val="both"/>
      </w:pPr>
      <w:r>
        <w:rPr>
          <w:rFonts w:ascii="David" w:cs="David" w:eastAsia="David" w:hAnsi="David"/>
          <w:b/>
          <w:bCs/>
          <w:i w:val="false"/>
          <w:iCs w:val="false"/>
          <w:noProof/>
          <w:color w:val="000000"/>
          <w:sz w:val="24"/>
          <w:szCs w:val="24"/>
          <w:rtl/>
        </w:rPr>
        <w:t xml:space="preserve">השערה 1: </w:t>
      </w:r>
      <w:r>
        <w:rPr>
          <w:rFonts w:ascii="David" w:cs="David" w:eastAsia="David" w:hAnsi="David"/>
          <w:b w:val="false"/>
          <w:bCs w:val="false"/>
          <w:i w:val="false"/>
          <w:iCs w:val="false"/>
          <w:noProof/>
          <w:color w:val="000000"/>
          <w:sz w:val="24"/>
          <w:szCs w:val="24"/>
          <w:rtl/>
        </w:rPr>
        <w:t xml:space="preserve">קבוצת חוויית השליטה תדווח על מסוגלות גבוהה יותר מקבוצת הביקורת.</w:t>
      </w:r>
    </w:p>
    <w:p>
      <w:pPr>
        <w:bidi/>
        <w:spacing w:after="160" w:before="0" w:line="360"/>
        <w:jc w:val="both"/>
      </w:pPr>
      <w:r>
        <w:rPr>
          <w:rFonts w:ascii="David" w:cs="David" w:eastAsia="David" w:hAnsi="David"/>
          <w:b/>
          <w:bCs/>
          <w:i w:val="false"/>
          <w:iCs w:val="false"/>
          <w:noProof/>
          <w:color w:val="000000"/>
          <w:sz w:val="24"/>
          <w:szCs w:val="24"/>
          <w:rtl/>
        </w:rPr>
        <w:t xml:space="preserve">השערה 2: </w:t>
      </w:r>
      <w:r>
        <w:rPr>
          <w:rFonts w:ascii="David" w:cs="David" w:eastAsia="David" w:hAnsi="David"/>
          <w:b w:val="false"/>
          <w:bCs w:val="false"/>
          <w:i w:val="false"/>
          <w:iCs w:val="false"/>
          <w:noProof/>
          <w:color w:val="000000"/>
          <w:sz w:val="24"/>
          <w:szCs w:val="24"/>
          <w:rtl/>
        </w:rPr>
        <w:t xml:space="preserve">קבוצת החשיפה העקיפה תדווח על מסוגלות גבוהה יותר מקבוצת הביקורת.</w:t>
      </w:r>
    </w:p>
    <w:p>
      <w:pPr>
        <w:bidi/>
        <w:spacing w:after="160" w:before="0" w:line="360"/>
        <w:jc w:val="both"/>
      </w:pPr>
      <w:r>
        <w:rPr>
          <w:rFonts w:ascii="David" w:cs="David" w:eastAsia="David" w:hAnsi="David"/>
          <w:b/>
          <w:bCs/>
          <w:i w:val="false"/>
          <w:iCs w:val="false"/>
          <w:noProof/>
          <w:color w:val="000000"/>
          <w:sz w:val="24"/>
          <w:szCs w:val="24"/>
          <w:rtl/>
        </w:rPr>
        <w:t xml:space="preserve">השערה 3: </w:t>
      </w:r>
      <w:r>
        <w:rPr>
          <w:rFonts w:ascii="David" w:cs="David" w:eastAsia="David" w:hAnsi="David"/>
          <w:b w:val="false"/>
          <w:bCs w:val="false"/>
          <w:i w:val="false"/>
          <w:iCs w:val="false"/>
          <w:noProof/>
          <w:color w:val="000000"/>
          <w:sz w:val="24"/>
          <w:szCs w:val="24"/>
          <w:rtl/>
        </w:rPr>
        <w:t xml:space="preserve">קבוצת חוויית השליטה תדווח על מסוגלות גבוהה יותר מקבוצת החשיפה העקיפה.</w:t>
      </w:r>
    </w:p>
    <w:p>
      <w:pPr>
        <w:bidi/>
        <w:spacing w:after="160" w:before="0" w:line="360"/>
        <w:jc w:val="both"/>
      </w:pPr>
      <w:r>
        <w:rPr>
          <w:rFonts w:ascii="David" w:cs="David" w:eastAsia="David" w:hAnsi="David"/>
          <w:b/>
          <w:bCs/>
          <w:i w:val="false"/>
          <w:iCs w:val="false"/>
          <w:noProof/>
          <w:color w:val="000000"/>
          <w:sz w:val="24"/>
          <w:szCs w:val="24"/>
          <w:rtl/>
        </w:rPr>
        <w:t xml:space="preserve">השערה 4: </w:t>
      </w:r>
      <w:r>
        <w:rPr>
          <w:rFonts w:ascii="David" w:cs="David" w:eastAsia="David" w:hAnsi="David"/>
          <w:b w:val="false"/>
          <w:bCs w:val="false"/>
          <w:i w:val="false"/>
          <w:iCs w:val="false"/>
          <w:noProof/>
          <w:color w:val="000000"/>
          <w:sz w:val="24"/>
          <w:szCs w:val="24"/>
          <w:rtl/>
        </w:rPr>
        <w:t xml:space="preserve">יימצא מתאם חיובי בין שני מדדי המסוגלות, כך שככל שהחוללות העצמית הכללית גבוהה יותר, כך תהיה גבוהה יותר גם תחושת המסוגלות של המורה.</w:t>
      </w:r>
    </w:p>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שיטה</w:t>
      </w:r>
    </w:p>
    <w:p>
      <w:pPr>
        <w:pStyle w:val="Heading2"/>
        <w:bidi/>
        <w:spacing w:after="100" w:before="180"/>
        <w:jc w:val="right"/>
      </w:pPr>
      <w:r>
        <w:rPr>
          <w:rFonts w:ascii="David" w:cs="David" w:eastAsia="David" w:hAnsi="David"/>
          <w:b/>
          <w:bCs/>
          <w:i w:val="false"/>
          <w:iCs w:val="false"/>
          <w:noProof/>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noProof/>
          <w:color w:val="000000"/>
          <w:sz w:val="24"/>
          <w:szCs w:val="24"/>
          <w:rtl/>
        </w:rPr>
        <w:t xml:space="preserve">במחקר השתתפו 33 סטודנטים בהכשרה להוראה שהתנדבו למחקר, ובהם 21 נשים ו-12 גברים. גיל המשתתפים נע בין 18 ל-30 (M=24.3, SD=2.7).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noProof/>
          <w:color w:val="000000"/>
          <w:sz w:val="26"/>
          <w:szCs w:val="26"/>
          <w:rtl/>
        </w:rPr>
        <w:t xml:space="preserve">כלים</w:t>
      </w:r>
    </w:p>
    <w:p>
      <w:pPr>
        <w:bidi/>
        <w:spacing w:after="160" w:before="0" w:line="360"/>
        <w:jc w:val="both"/>
      </w:pPr>
      <w:r>
        <w:rPr>
          <w:rFonts w:ascii="David" w:cs="David" w:eastAsia="David" w:hAnsi="David"/>
          <w:b/>
          <w:bCs/>
          <w:i w:val="false"/>
          <w:iCs w:val="false"/>
          <w:noProof/>
          <w:color w:val="000000"/>
          <w:sz w:val="24"/>
          <w:szCs w:val="24"/>
          <w:rtl/>
        </w:rPr>
        <w:t xml:space="preserve">שאלון דמוגרפי. </w:t>
      </w:r>
      <w:r>
        <w:rPr>
          <w:rFonts w:ascii="David" w:cs="David" w:eastAsia="David" w:hAnsi="David"/>
          <w:b w:val="false"/>
          <w:bCs w:val="false"/>
          <w:i w:val="false"/>
          <w:iCs w:val="false"/>
          <w:noProof/>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noProof/>
          <w:color w:val="000000"/>
          <w:sz w:val="24"/>
          <w:szCs w:val="24"/>
          <w:rtl/>
        </w:rPr>
        <w:t xml:space="preserve">מניפולציית מקור החוללות. </w:t>
      </w:r>
      <w:r>
        <w:rPr>
          <w:rFonts w:ascii="David" w:cs="David" w:eastAsia="David" w:hAnsi="David"/>
          <w:b w:val="false"/>
          <w:bCs w:val="false"/>
          <w:i w:val="false"/>
          <w:iCs w:val="false"/>
          <w:noProof/>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noProof/>
          <w:color w:val="000000"/>
          <w:sz w:val="24"/>
          <w:szCs w:val="24"/>
          <w:rtl/>
        </w:rPr>
        <w:t xml:space="preserve">שאלון חוללות עצמית כללית. </w:t>
      </w:r>
      <w:r>
        <w:rPr>
          <w:rFonts w:ascii="David" w:cs="David" w:eastAsia="David" w:hAnsi="David"/>
          <w:b w:val="false"/>
          <w:bCs w:val="false"/>
          <w:i w:val="false"/>
          <w:iCs w:val="false"/>
          <w:noProof/>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noProof/>
          <w:color w:val="000000"/>
          <w:sz w:val="24"/>
          <w:szCs w:val="24"/>
          <w:rtl/>
        </w:rPr>
        <w:t xml:space="preserve">שאלון תחושת המסוגלות של המורה (TSES). </w:t>
      </w:r>
      <w:r>
        <w:rPr>
          <w:rFonts w:ascii="David" w:cs="David" w:eastAsia="David" w:hAnsi="David"/>
          <w:b w:val="false"/>
          <w:bCs w:val="false"/>
          <w:i w:val="false"/>
          <w:iCs w:val="false"/>
          <w:noProof/>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.90) (ראו נספח 4).</w:t>
      </w:r>
    </w:p>
    <w:p>
      <w:pPr>
        <w:pStyle w:val="Heading2"/>
        <w:bidi/>
        <w:spacing w:after="100" w:before="180"/>
        <w:jc w:val="right"/>
      </w:pPr>
      <w:r>
        <w:rPr>
          <w:rFonts w:ascii="David" w:cs="David" w:eastAsia="David" w:hAnsi="David"/>
          <w:b/>
          <w:bCs/>
          <w:i w:val="false"/>
          <w:iCs w:val="false"/>
          <w:noProof/>
          <w:color w:val="000000"/>
          <w:sz w:val="26"/>
          <w:szCs w:val="26"/>
          <w:rtl/>
        </w:rPr>
        <w:t xml:space="preserve">הליך</w:t>
      </w:r>
    </w:p>
    <w:p>
      <w:pPr>
        <w:bidi/>
        <w:spacing w:after="160" w:before="0" w:line="360"/>
        <w:jc w:val="both"/>
      </w:pPr>
      <w:r>
        <w:rPr>
          <w:rFonts w:ascii="David" w:cs="David" w:eastAsia="David" w:hAnsi="David"/>
          <w:b w:val="false"/>
          <w:bCs w:val="false"/>
          <w:i w:val="false"/>
          <w:iCs w:val="false"/>
          <w:noProof/>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תוצאות</w:t>
      </w:r>
    </w:p>
    <w:p>
      <w:pPr>
        <w:pStyle w:val="Heading2"/>
        <w:bidi/>
        <w:spacing w:after="100" w:before="180"/>
        <w:jc w:val="right"/>
      </w:pPr>
      <w:r>
        <w:rPr>
          <w:rFonts w:ascii="David" w:cs="David" w:eastAsia="David" w:hAnsi="David"/>
          <w:b/>
          <w:bCs/>
          <w:i w:val="false"/>
          <w:iCs w:val="false"/>
          <w:noProof/>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noProof/>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α=.90).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noProof/>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noProof/>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noProof/>
          <w:color w:val="000000"/>
          <w:sz w:val="24"/>
          <w:szCs w:val="24"/>
          <w:rtl/>
        </w:rPr>
        <w:t xml:space="preserve">טבלה 1</w:t>
      </w:r>
      <w:r>
        <w:rPr>
          <w:rFonts w:ascii="David" w:cs="David" w:eastAsia="David" w:hAnsi="David"/>
          <w:b w:val="false"/>
          <w:bCs w:val="false"/>
          <w:i w:val="false"/>
          <w:iCs w:val="false"/>
          <w:noProof/>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0.51</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0.56</w:t>
            </w:r>
          </w:p>
        </w:tc>
      </w:tr>
    </w:tbl>
    <w:p>
      <w:pPr>
        <w:bidi/>
        <w:spacing w:after="160" w:before="80" w:line="360"/>
        <w:jc w:val="both"/>
      </w:pPr>
      <w:r>
        <w:rPr>
          <w:rFonts w:ascii="David" w:cs="David" w:eastAsia="David" w:hAnsi="David"/>
          <w:b w:val="false"/>
          <w:bCs w:val="false"/>
          <w:i w:val="false"/>
          <w:iCs w:val="false"/>
          <w:noProof/>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F(2,30)=5.14,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SD=0.56), בהפרש ממוצעים של 0.75, הפרש שהיה מובהק (p=.008, 95% CI [0.17, 1.33]). לעומת זאת, ההפרש בין קבוצת החשיפה העקיפה (M=3.70, SD=0.51) לבין קבוצת הביקורת, שעמד על 0.41, לא הגיע למובהקות (p=.21, 95% CI [-0.17, 0.99]), וכך גם ההפרש בין חוויית השליטה לחשיפה העקיפה, שעמד על 0.34 (p=.30, 95% CI [-0.24, 0.92]).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noProof/>
          <w:color w:val="000000"/>
          <w:sz w:val="24"/>
          <w:szCs w:val="24"/>
          <w:rtl/>
        </w:rPr>
        <w:t xml:space="preserve">איור 1</w:t>
      </w:r>
      <w:r>
        <w:rPr>
          <w:rFonts w:ascii="David" w:cs="David" w:eastAsia="David" w:hAnsi="David"/>
          <w:b w:val="false"/>
          <w:bCs w:val="false"/>
          <w:i w:val="false"/>
          <w:iCs w:val="false"/>
          <w:noProof/>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noProof/>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noProof/>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noProof/>
          <w:color w:val="000000"/>
          <w:sz w:val="24"/>
          <w:szCs w:val="24"/>
          <w:rtl/>
        </w:rPr>
        <w:t xml:space="preserve">טבלה 2</w:t>
      </w:r>
      <w:r>
        <w:rPr>
          <w:rFonts w:ascii="David" w:cs="David" w:eastAsia="David" w:hAnsi="David"/>
          <w:b w:val="false"/>
          <w:bCs w:val="false"/>
          <w:i w:val="false"/>
          <w:iCs w:val="false"/>
          <w:noProof/>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noProof/>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0.75</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noProof/>
                <w:color w:val="000000"/>
                <w:sz w:val="24"/>
                <w:szCs w:val="24"/>
                <w:rtl/>
              </w:rPr>
              <w:t xml:space="preserve">0.79</w:t>
            </w:r>
          </w:p>
        </w:tc>
      </w:tr>
    </w:tbl>
    <w:p>
      <w:pPr>
        <w:bidi/>
        <w:spacing w:after="160" w:before="80" w:line="360"/>
        <w:jc w:val="both"/>
      </w:pPr>
      <w:r>
        <w:rPr>
          <w:rFonts w:ascii="David" w:cs="David" w:eastAsia="David" w:hAnsi="David"/>
          <w:b w:val="false"/>
          <w:bCs w:val="false"/>
          <w:i w:val="false"/>
          <w:iCs w:val="false"/>
          <w:noProof/>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noProof/>
          <w:color w:val="000000"/>
          <w:sz w:val="24"/>
          <w:szCs w:val="24"/>
          <w:rtl/>
        </w:rPr>
        <w:t xml:space="preserve">השוואות Tukey HSD הראו שקבוצת חוויית השליטה (M=6.98, SD=0.75) דיווחה על תחושת מסוגלות גבוהה יותר מקבוצת הביקורת (M=6.10, SD=0.79),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0.42,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noProof/>
          <w:color w:val="000000"/>
          <w:sz w:val="24"/>
          <w:szCs w:val="24"/>
          <w:rtl/>
        </w:rPr>
        <w:t xml:space="preserve">איור 2</w:t>
      </w:r>
      <w:r>
        <w:rPr>
          <w:rFonts w:ascii="David" w:cs="David" w:eastAsia="David" w:hAnsi="David"/>
          <w:b w:val="false"/>
          <w:bCs w:val="false"/>
          <w:i w:val="false"/>
          <w:iCs w:val="false"/>
          <w:noProof/>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noProof/>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דיון</w:t>
      </w:r>
    </w:p>
    <w:p>
      <w:pPr>
        <w:bidi/>
        <w:spacing w:after="160" w:before="0" w:line="360"/>
        <w:jc w:val="both"/>
      </w:pPr>
      <w:r>
        <w:rPr>
          <w:rFonts w:ascii="David" w:cs="David" w:eastAsia="David" w:hAnsi="David"/>
          <w:b w:val="false"/>
          <w:bCs w:val="false"/>
          <w:i w:val="false"/>
          <w:iCs w:val="false"/>
          <w:noProof/>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תמונת הממצאים חלקית. בשני המדדים אוששה השערה 1, שכן קבוצת חוויית השליטה דיווחה על מסוגלות גבוהה יותר מקבוצת הביקורת באופן מובהק. לעומת זאת, השערות 2 ו-3 לא אוששו: קבוצת החשיפה העקיפה נמצאה בתווך אך לא נבדלה מהביקורת באופן מובהק, וגם ההפרש בינה לבין חוויית השליטה לא הגיע למובהקות. השערה 4 אוששה, ונמצא מתאם חיובי בינוני-גבוה בין שני מדדי המסוגלות.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noProof/>
          <w:color w:val="000000"/>
          <w:sz w:val="24"/>
          <w:szCs w:val="24"/>
          <w:rtl/>
        </w:rPr>
        <w:t xml:space="preserve">הממצא המרכזי, שלפיו היזכרות בהצלחה אישית העלתה את תחושת המסוגלות בשני המדדים, עולה בקנה אחד עם הטענה של בנדורה שחוויות שליטה הן המקור החזק ביותר לחוללות עצמית (Bandura, 1997). מעניין במיוחד שדי היה במשימת כתיבה קצרה, בת כארבע דקות, כדי להזיז את תחושת המסוגלות. עובדה זו ממחישה את הפלסטיות של המשתנה ותומכת בתפיסה הרואה בחוללות לא רק תכונה יציבה אלא גם מצב הניתן לשינוי. התוצאה מתחברת גם לספרות המדגישה את מרכזיות המסוגלות במוטיבציה ובהישגים: אם התערבות פשוטה יכולה להעלות את תחושת המסוגלות, ומסוגלות זו מנבאת מאמץ, התמדה והישגים (שאנק, 2001; Basileo et al., 2024), הרי שיש כאן מנוף פוטנציאלי לקידום לומדים.</w:t>
      </w:r>
    </w:p>
    <w:p>
      <w:pPr>
        <w:bidi/>
        <w:spacing w:after="160" w:before="0" w:line="360"/>
        <w:jc w:val="both"/>
      </w:pPr>
      <w:r>
        <w:rPr>
          <w:rFonts w:ascii="David" w:cs="David" w:eastAsia="David" w:hAnsi="David"/>
          <w:b w:val="false"/>
          <w:bCs w:val="false"/>
          <w:i w:val="false"/>
          <w:iCs w:val="false"/>
          <w:noProof/>
          <w:color w:val="000000"/>
          <w:sz w:val="24"/>
          <w:szCs w:val="24"/>
          <w:rtl/>
        </w:rPr>
        <w:t xml:space="preserve">ממצא שראוי לתשומת לב מיוחדת הוא הפער בין שני מדדי המסוגלות. האינדוקציה השפיעה חזק יותר על החוללות העצמית הכללית מאשר על תחושת המסוגלות של המורה. הסבר אפשרי נעוץ בהבחנה בין מסוגלות כללית לבין מסוגלות ספציפית לתחום. תחושת המסוגלות של המורה נשענת במידה רבה על התנסות ממשית בהוראה, מקור שסטודנטים בתחילת הכשרתם עדיין חסרים, ולכן ייתכן שהיא מעוגנת יותר ופחות רגישה לאינדוקציה קצרה וכללית (Tschannen-Moran &amp; Woolfolk Hoy, 2001). עם זאת, המתאם החיובי הבינוני-גבוה שנמצא בין שני המדדים (השערה 4) תומך בכך שחיזוק המסוגלות הכללית עשוי לתרום, ולו בעקיפין, גם לתחושת המסוגלות בהקשר ההוראה, מה שמחזק את הרלוונטיות של התערבויות כלליות לאוכלוסיית המורים לעתיד.</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לעומת חוויית השליטה, החשיפה העקיפה לא הניבה אפקט מובהק, וגם לכך כמה הסברים אפשריים. ראשית, לפי בנדורה (Bandura, 1997), עוצמת ההשפעה של מודל תלויה במידת הדמיון הנתפס בינו לבין הצופה, וייתכן שעדות כתובה של עמית אנונימי לא יצרה תחושת דמיון מספקת. שנית, קריאת טקסט קצר עשויה להיות פחות משכנעת מהתבוננות במודל חי המבצע משימה בפועל, שכן היא חסרה את הפן החזותי והרגשי של ההתבוננות. שלישית, ייתכן שחשיפה חד-פעמית ובמינון נמוך אינה מספיקה כדי לחולל שינוי, וכי נדרשת חשיפה חוזרת או אינטנסיבית יותר.</w:t>
      </w:r>
    </w:p>
    <w:p>
      <w:pPr>
        <w:bidi/>
        <w:spacing w:after="160" w:before="0" w:line="360"/>
        <w:jc w:val="both"/>
      </w:pPr>
      <w:r>
        <w:rPr>
          <w:rFonts w:ascii="David" w:cs="David" w:eastAsia="David" w:hAnsi="David"/>
          <w:b w:val="false"/>
          <w:bCs w:val="false"/>
          <w:i w:val="false"/>
          <w:iCs w:val="false"/>
          <w:noProof/>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אפשר שמי שהתקשה לשלוף דוגמה משמעותית להצלחה, או ייחס אותה לגורם חיצוני וחולף, נהנה פחות מהמניפולציה. נקודה זו מדגישה עד כמה חשוב לשלב במחקרי המשך מבחן מניפולציה ומדדים לתהליכים המתווכים.</w:t>
      </w:r>
    </w:p>
    <w:p>
      <w:pPr>
        <w:bidi/>
        <w:spacing w:after="160" w:before="0" w:line="360"/>
        <w:jc w:val="both"/>
      </w:pPr>
      <w:r>
        <w:rPr>
          <w:rFonts w:ascii="David" w:cs="David" w:eastAsia="David" w:hAnsi="David"/>
          <w:b/>
          <w:bCs/>
          <w:i w:val="false"/>
          <w:iCs w:val="false"/>
          <w:noProof/>
          <w:color w:val="000000"/>
          <w:sz w:val="24"/>
          <w:szCs w:val="24"/>
          <w:rtl/>
        </w:rPr>
        <w:t xml:space="preserve">תרומה תיאורטית. </w:t>
      </w:r>
      <w:r>
        <w:rPr>
          <w:rFonts w:ascii="David" w:cs="David" w:eastAsia="David" w:hAnsi="David"/>
          <w:b w:val="false"/>
          <w:bCs w:val="false"/>
          <w:i w:val="false"/>
          <w:iCs w:val="false"/>
          <w:noProof/>
          <w:color w:val="000000"/>
          <w:sz w:val="24"/>
          <w:szCs w:val="24"/>
          <w:rtl/>
        </w:rPr>
        <w:t xml:space="preserve">מעבר לערכו היישומי, למחקר גם משמעות תיאורטית. הוא מחזק את התפיסה הרואה בחוללות העצמית לא רק תכונה יציבה אלא גם מצב הנתון להשפעה, ומדגים זאת בתנאי מעבדה מבוקרים. בכך הוא מרחיב את ספרות ההיזכרות בהצלחה, שעסקה בעיקר בציפיות להצלחה עתידית, אל עבר תחושת המסוגלות עצמה, ומחבר בין המסורת התיאורטית של בנדורה (Bandura, 1997) לבין העבודות העדכניות על אינדוקציה קוגניטיבית קצרה (Abdulla &amp; Woods, 2025). העובדה ששני מדדי מסוגלות שונים הושפעו מאותה מניפולציה, ונמצאו מתואמים ביניהם, מחזקת את התוקף של המסקנה ומצביעה על מנגנון משותף.</w:t>
      </w:r>
    </w:p>
    <w:p>
      <w:pPr>
        <w:bidi/>
        <w:spacing w:after="160" w:before="0" w:line="360"/>
        <w:jc w:val="both"/>
      </w:pPr>
      <w:r>
        <w:rPr>
          <w:rFonts w:ascii="David" w:cs="David" w:eastAsia="David" w:hAnsi="David"/>
          <w:b/>
          <w:bCs/>
          <w:i w:val="false"/>
          <w:iCs w:val="false"/>
          <w:noProof/>
          <w:color w:val="000000"/>
          <w:sz w:val="24"/>
          <w:szCs w:val="24"/>
          <w:rtl/>
        </w:rPr>
        <w:t xml:space="preserve">השלכות יישומיות. </w:t>
      </w:r>
      <w:r>
        <w:rPr>
          <w:rFonts w:ascii="David" w:cs="David" w:eastAsia="David" w:hAnsi="David"/>
          <w:b w:val="false"/>
          <w:bCs w:val="false"/>
          <w:i w:val="false"/>
          <w:iCs w:val="false"/>
          <w:noProof/>
          <w:color w:val="000000"/>
          <w:sz w:val="24"/>
          <w:szCs w:val="24"/>
          <w:rtl/>
        </w:rPr>
        <w:t xml:space="preserve">מבחינה יישומית, הממצאים מצביעים על כך שאף התערבות קצרה, פשוטה וחסכונית במשאבים יכולה להעלות את תחושת המסוגלות של סטודנטים בהכשרה להוראה. שילוב של תרגילי היזכרות בהצלחות אישיות בתוך תוכניות ההכשרה, למשל לפני התנסות מעשית או לפני מטלה מאתגרת, עשוי לתמוך במוטיבציה, בהתמדה ובתחושת המוכנות של המתכשרים. מכיוון שתחושת המסוגלות של מורים נקשרה בספרות למחויבות למקצוע, להכלה ולהתמודדות עם שחיקה, חיזוקה כבר בשלב ההכשרה נושא ערך מעשי לטווח הארוך.</w:t>
      </w:r>
    </w:p>
    <w:p>
      <w:pPr>
        <w:bidi/>
        <w:spacing w:after="160" w:before="0" w:line="360"/>
        <w:jc w:val="both"/>
      </w:pPr>
      <w:r>
        <w:rPr>
          <w:rFonts w:ascii="David" w:cs="David" w:eastAsia="David" w:hAnsi="David"/>
          <w:b/>
          <w:bCs/>
          <w:i w:val="false"/>
          <w:iCs w:val="false"/>
          <w:noProof/>
          <w:color w:val="000000"/>
          <w:sz w:val="24"/>
          <w:szCs w:val="24"/>
          <w:rtl/>
        </w:rPr>
        <w:t xml:space="preserve">מגבלות המחקר. </w:t>
      </w:r>
      <w:r>
        <w:rPr>
          <w:rFonts w:ascii="David" w:cs="David" w:eastAsia="David" w:hAnsi="David"/>
          <w:b w:val="false"/>
          <w:bCs w:val="false"/>
          <w:i w:val="false"/>
          <w:iCs w:val="false"/>
          <w:noProof/>
          <w:color w:val="000000"/>
          <w:sz w:val="24"/>
          <w:szCs w:val="24"/>
          <w:rtl/>
        </w:rPr>
        <w:t xml:space="preserve">לצד תרומותיו, למחקר כמה מגבלות. ראשית, מדובר במדגם נוחות קטן (N=33) המורכב מסטודנטים בהכשרה להוראה בלבד, ולכן ההכללה לאוכלוסייה הרחבה מוגבלת והעוצמה הסטטיסטית לזהות אפקטים בינוניים נמוכה. שנית, המחקר נשען על דיווח עצמי, החשוף להטיית רצייה חברתית ולמודעות המשתתף למטרת המשימה. שלישית, לא נמדדה רמת המסוגלות לפני המניפולציה, כך שההשוואה בין-נבדקית בלבד, וייתכן שהבדלים אישיים קודמים תרמו לשונות. רביעית, לא נכלל מבחן מניפולציה שיוודא שהמשימות אכן הפעילו את התהליכים המיועדים. לבסוף, נמדדה השפעה מיידית ומצבית בלבד, ואין בה כדי ללמד על שינוי יציב לאורך זמן.</w:t>
      </w:r>
    </w:p>
    <w:p>
      <w:pPr>
        <w:bidi/>
        <w:spacing w:after="160" w:before="0" w:line="360"/>
        <w:jc w:val="both"/>
      </w:pPr>
      <w:r>
        <w:rPr>
          <w:rFonts w:ascii="David" w:cs="David" w:eastAsia="David" w:hAnsi="David"/>
          <w:b/>
          <w:bCs/>
          <w:i w:val="false"/>
          <w:iCs w:val="false"/>
          <w:noProof/>
          <w:color w:val="000000"/>
          <w:sz w:val="24"/>
          <w:szCs w:val="24"/>
          <w:rtl/>
        </w:rPr>
        <w:t xml:space="preserve">הצעות למחקר עתידי. </w:t>
      </w:r>
      <w:r>
        <w:rPr>
          <w:rFonts w:ascii="David" w:cs="David" w:eastAsia="David" w:hAnsi="David"/>
          <w:b w:val="false"/>
          <w:bCs w:val="false"/>
          <w:i w:val="false"/>
          <w:iCs w:val="false"/>
          <w:noProof/>
          <w:color w:val="000000"/>
          <w:sz w:val="24"/>
          <w:szCs w:val="24"/>
          <w:rtl/>
        </w:rPr>
        <w:t xml:space="preserve">מחקרי המשך יוכלו להגדיל ולגוון את המדגם, ולהוסיף מדידת בסיס ותכנון עם מדידות חוזרות שיאפשר לאמוד את השינוי ברמת הפרט. כדאי לחזק את מניפולציית החשיפה העקיפה, למשל באמצעות מודל וידאו חי או מודל דומה למשתתף מבחינת גיל ורקע, ולהוסיף מבחן מניפולציה וכן מדדים לקלות השליפה ולייחוסים. כיוון נוסף הוא לבחון את עמידות האפקט לאורך זמן באמצעות מדידות חוזרות לאחר יום, שבוע וחודש, ולבדוק אם שילוב של היזכרות בהצלחה עם התנסות מעשית מייצר אפקט חזק ויציב יותר.</w:t>
      </w:r>
    </w:p>
    <w:p>
      <w:pPr>
        <w:bidi/>
        <w:spacing w:after="160" w:before="0" w:line="360"/>
        <w:jc w:val="both"/>
      </w:pPr>
      <w:r>
        <w:rPr>
          <w:rFonts w:ascii="David" w:cs="David" w:eastAsia="David" w:hAnsi="David"/>
          <w:b/>
          <w:bCs/>
          <w:i w:val="false"/>
          <w:iCs w:val="false"/>
          <w:noProof/>
          <w:color w:val="000000"/>
          <w:sz w:val="24"/>
          <w:szCs w:val="24"/>
          <w:rtl/>
        </w:rPr>
        <w:t xml:space="preserve">סיכום. </w:t>
      </w:r>
      <w:r>
        <w:rPr>
          <w:rFonts w:ascii="David" w:cs="David" w:eastAsia="David" w:hAnsi="David"/>
          <w:b w:val="false"/>
          <w:bCs w:val="false"/>
          <w:i w:val="false"/>
          <w:iCs w:val="false"/>
          <w:noProof/>
          <w:color w:val="000000"/>
          <w:sz w:val="24"/>
          <w:szCs w:val="24"/>
          <w:rtl/>
        </w:rPr>
        <w:t xml:space="preserve">המחקר ממחיש שאינדוקציה קצרה של חוויית שליטה, בדמות היזכרות בהצלחה אישית, מעלה את תחושת המסוגלות של סטודנטים בהכשרה להוראה, בעוד שחשיפה עקיפה קצרה בדמות עדות כתובה לא הניבה אפקט מובהק. הממצאים תומכים בבכורתן של חוויות השליטה כמקור לחוללות עצמית, ומדגישים את הפוטנציאל הטמון בהתערבויות פשוטות לחיזוק תחושת המסוגלות, לצד הצורך במחקר גדול ומבוקר יותר שיבחן את עמידות האפקט ואת התהליכים שבבסיסו.</w:t>
      </w:r>
    </w:p>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noProof/>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noProof/>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noProof/>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noProof/>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noProof/>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noProof/>
          <w:sz w:val="24"/>
          <w:szCs w:val="24"/>
        </w:rPr>
        <w:t xml:space="preserve">Abdolrezapour, P., Jahanbakhsh Ganjeh, S., &amp; Ghanbari, N. (2023). Self-efficacy and resilience as predictors of students’ academic motivation in online education. </w:t>
      </w:r>
      <w:r>
        <w:rPr>
          <w:rFonts w:ascii="David" w:cs="David" w:eastAsia="David" w:hAnsi="David"/>
          <w:i/>
          <w:iCs/>
          <w:noProof/>
          <w:sz w:val="24"/>
          <w:szCs w:val="24"/>
        </w:rPr>
        <w:t xml:space="preserve">PLOS ONE, 18</w:t>
      </w:r>
      <w:r>
        <w:rPr>
          <w:rFonts w:ascii="David" w:cs="David" w:eastAsia="David" w:hAnsi="David"/>
          <w:i w:val="false"/>
          <w:iCs w:val="false"/>
          <w:noProof/>
          <w:sz w:val="24"/>
          <w:szCs w:val="24"/>
        </w:rPr>
        <w:t xml:space="preserve">(5), e0285984. </w:t>
      </w:r>
      <w:hyperlink w:history="1" r:id="rIdgudq2oauxrbibcw33suxp">
        <w:r>
          <w:rPr>
            <w:rFonts w:ascii="David" w:cs="David" w:eastAsia="David" w:hAnsi="David"/>
            <w:noProof/>
            <w:color w:val="0563C1"/>
            <w:sz w:val="24"/>
            <w:szCs w:val="24"/>
            <w:u w:val="single"/>
          </w:rPr>
          <w:t xml:space="preserve">https://doi.org/10.1371/journal.pone.0285984</w:t>
        </w:r>
      </w:hyperlink>
    </w:p>
    <w:p>
      <w:pPr>
        <w:spacing w:after="140" w:line="360"/>
        <w:ind w:left="720" w:hanging="720"/>
        <w:jc w:val="left"/>
      </w:pPr>
      <w:r>
        <w:rPr>
          <w:rFonts w:ascii="David" w:cs="David" w:eastAsia="David" w:hAnsi="David"/>
          <w:i w:val="false"/>
          <w:iCs w:val="false"/>
          <w:noProof/>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noProof/>
          <w:sz w:val="24"/>
          <w:szCs w:val="24"/>
        </w:rPr>
        <w:t xml:space="preserve">Psychological Research, 89</w:t>
      </w:r>
      <w:r>
        <w:rPr>
          <w:rFonts w:ascii="David" w:cs="David" w:eastAsia="David" w:hAnsi="David"/>
          <w:i w:val="false"/>
          <w:iCs w:val="false"/>
          <w:noProof/>
          <w:sz w:val="24"/>
          <w:szCs w:val="24"/>
        </w:rPr>
        <w:t xml:space="preserve">, Article 117. </w:t>
      </w:r>
      <w:hyperlink w:history="1" r:id="rId6fuwkremz8ff6pzzcltrx">
        <w:r>
          <w:rPr>
            <w:rFonts w:ascii="David" w:cs="David" w:eastAsia="David" w:hAnsi="David"/>
            <w:noProof/>
            <w:color w:val="0563C1"/>
            <w:sz w:val="24"/>
            <w:szCs w:val="24"/>
            <w:u w:val="single"/>
          </w:rPr>
          <w:t xml:space="preserve">https://doi.org/10.1007/s00426-025-02136-x</w:t>
        </w:r>
      </w:hyperlink>
    </w:p>
    <w:p>
      <w:pPr>
        <w:spacing w:after="140" w:line="360"/>
        <w:ind w:left="720" w:hanging="720"/>
        <w:jc w:val="left"/>
      </w:pPr>
      <w:r>
        <w:rPr>
          <w:rFonts w:ascii="David" w:cs="David" w:eastAsia="David" w:hAnsi="David"/>
          <w:i w:val="false"/>
          <w:iCs w:val="false"/>
          <w:noProof/>
          <w:sz w:val="24"/>
          <w:szCs w:val="24"/>
        </w:rPr>
        <w:t xml:space="preserve">Artino, A. R. (2012). Academic self-efficacy: From educational theory to instructional practice. </w:t>
      </w:r>
      <w:r>
        <w:rPr>
          <w:rFonts w:ascii="David" w:cs="David" w:eastAsia="David" w:hAnsi="David"/>
          <w:i/>
          <w:iCs/>
          <w:noProof/>
          <w:sz w:val="24"/>
          <w:szCs w:val="24"/>
        </w:rPr>
        <w:t xml:space="preserve">Perspectives on Medical Education, 1</w:t>
      </w:r>
      <w:r>
        <w:rPr>
          <w:rFonts w:ascii="David" w:cs="David" w:eastAsia="David" w:hAnsi="David"/>
          <w:i w:val="false"/>
          <w:iCs w:val="false"/>
          <w:noProof/>
          <w:sz w:val="24"/>
          <w:szCs w:val="24"/>
        </w:rPr>
        <w:t xml:space="preserve">(2), 76-85. </w:t>
      </w:r>
      <w:hyperlink w:history="1" r:id="rIdc7zka5ymq5egv6ueoop0g">
        <w:r>
          <w:rPr>
            <w:rFonts w:ascii="David" w:cs="David" w:eastAsia="David" w:hAnsi="David"/>
            <w:noProof/>
            <w:color w:val="0563C1"/>
            <w:sz w:val="24"/>
            <w:szCs w:val="24"/>
            <w:u w:val="single"/>
          </w:rPr>
          <w:t xml:space="preserve">https://doi.org/10.1007/s40037-012-0012-5</w:t>
        </w:r>
      </w:hyperlink>
    </w:p>
    <w:p>
      <w:pPr>
        <w:spacing w:after="140" w:line="360"/>
        <w:ind w:left="720" w:hanging="720"/>
        <w:jc w:val="left"/>
      </w:pPr>
      <w:r>
        <w:rPr>
          <w:rFonts w:ascii="David" w:cs="David" w:eastAsia="David" w:hAnsi="David"/>
          <w:i w:val="false"/>
          <w:iCs w:val="false"/>
          <w:noProof/>
          <w:sz w:val="24"/>
          <w:szCs w:val="24"/>
        </w:rPr>
        <w:t xml:space="preserve">Bandura, A. (1997). </w:t>
      </w:r>
      <w:r>
        <w:rPr>
          <w:rFonts w:ascii="David" w:cs="David" w:eastAsia="David" w:hAnsi="David"/>
          <w:i/>
          <w:iCs/>
          <w:noProof/>
          <w:sz w:val="24"/>
          <w:szCs w:val="24"/>
        </w:rPr>
        <w:t xml:space="preserve">Self-efficacy: The exercise of control</w:t>
      </w:r>
      <w:r>
        <w:rPr>
          <w:rFonts w:ascii="David" w:cs="David" w:eastAsia="David" w:hAnsi="David"/>
          <w:i w:val="false"/>
          <w:iCs w:val="false"/>
          <w:noProof/>
          <w:sz w:val="24"/>
          <w:szCs w:val="24"/>
        </w:rPr>
        <w:t xml:space="preserve">. W. H. Freeman.</w:t>
      </w:r>
    </w:p>
    <w:p>
      <w:pPr>
        <w:spacing w:after="140" w:line="360"/>
        <w:ind w:left="720" w:hanging="720"/>
        <w:jc w:val="left"/>
      </w:pPr>
      <w:r>
        <w:rPr>
          <w:rFonts w:ascii="David" w:cs="David" w:eastAsia="David" w:hAnsi="David"/>
          <w:i w:val="false"/>
          <w:iCs w:val="false"/>
          <w:noProof/>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noProof/>
          <w:sz w:val="24"/>
          <w:szCs w:val="24"/>
        </w:rPr>
        <w:t xml:space="preserve">Frontiers in Education, 9</w:t>
      </w:r>
      <w:r>
        <w:rPr>
          <w:rFonts w:ascii="David" w:cs="David" w:eastAsia="David" w:hAnsi="David"/>
          <w:i w:val="false"/>
          <w:iCs w:val="false"/>
          <w:noProof/>
          <w:sz w:val="24"/>
          <w:szCs w:val="24"/>
        </w:rPr>
        <w:t xml:space="preserve">, 1385442. </w:t>
      </w:r>
      <w:hyperlink w:history="1" r:id="rIdc2ruitvil-gwz3zdddey2">
        <w:r>
          <w:rPr>
            <w:rFonts w:ascii="David" w:cs="David" w:eastAsia="David" w:hAnsi="David"/>
            <w:noProof/>
            <w:color w:val="0563C1"/>
            <w:sz w:val="24"/>
            <w:szCs w:val="24"/>
            <w:u w:val="single"/>
          </w:rPr>
          <w:t xml:space="preserve">https://doi.org/10.3389/feduc.2024.1385442</w:t>
        </w:r>
      </w:hyperlink>
    </w:p>
    <w:p>
      <w:pPr>
        <w:spacing w:after="140" w:line="360"/>
        <w:ind w:left="720" w:hanging="720"/>
        <w:jc w:val="left"/>
      </w:pPr>
      <w:r>
        <w:rPr>
          <w:rFonts w:ascii="David" w:cs="David" w:eastAsia="David" w:hAnsi="David"/>
          <w:i w:val="false"/>
          <w:iCs w:val="false"/>
          <w:noProof/>
          <w:sz w:val="24"/>
          <w:szCs w:val="24"/>
        </w:rPr>
        <w:t xml:space="preserve">Chen, G., Gully, S. M., &amp; Eden, D. (2001). Validation of a new general self-efficacy scale. </w:t>
      </w:r>
      <w:r>
        <w:rPr>
          <w:rFonts w:ascii="David" w:cs="David" w:eastAsia="David" w:hAnsi="David"/>
          <w:i/>
          <w:iCs/>
          <w:noProof/>
          <w:sz w:val="24"/>
          <w:szCs w:val="24"/>
        </w:rPr>
        <w:t xml:space="preserve">Organizational Research Methods, 4</w:t>
      </w:r>
      <w:r>
        <w:rPr>
          <w:rFonts w:ascii="David" w:cs="David" w:eastAsia="David" w:hAnsi="David"/>
          <w:i w:val="false"/>
          <w:iCs w:val="false"/>
          <w:noProof/>
          <w:sz w:val="24"/>
          <w:szCs w:val="24"/>
        </w:rPr>
        <w:t xml:space="preserve">(1), 62-83. </w:t>
      </w:r>
      <w:hyperlink w:history="1" r:id="rIdzewhamc5st2ope2uah7gd">
        <w:r>
          <w:rPr>
            <w:rFonts w:ascii="David" w:cs="David" w:eastAsia="David" w:hAnsi="David"/>
            <w:noProof/>
            <w:color w:val="0563C1"/>
            <w:sz w:val="24"/>
            <w:szCs w:val="24"/>
            <w:u w:val="single"/>
          </w:rPr>
          <w:t xml:space="preserve">https://doi.org/10.1177/109442810141004</w:t>
        </w:r>
      </w:hyperlink>
    </w:p>
    <w:p>
      <w:pPr>
        <w:spacing w:after="140" w:line="360"/>
        <w:ind w:left="720" w:hanging="720"/>
        <w:jc w:val="left"/>
      </w:pPr>
      <w:r>
        <w:rPr>
          <w:rFonts w:ascii="David" w:cs="David" w:eastAsia="David" w:hAnsi="David"/>
          <w:i w:val="false"/>
          <w:iCs w:val="false"/>
          <w:noProof/>
          <w:sz w:val="24"/>
          <w:szCs w:val="24"/>
        </w:rPr>
        <w:t xml:space="preserve">Rossi, A. A., Mannarini, S., Taccini, F., Castelnuovo, G., &amp; Pietrabissa, G. (2025). The Italian version of the New General Self-Efficacy Scale (NGSES): Structural validity, psychometric properties, and measurement invariance. </w:t>
      </w:r>
      <w:r>
        <w:rPr>
          <w:rFonts w:ascii="David" w:cs="David" w:eastAsia="David" w:hAnsi="David"/>
          <w:i/>
          <w:iCs/>
          <w:noProof/>
          <w:sz w:val="24"/>
          <w:szCs w:val="24"/>
        </w:rPr>
        <w:t xml:space="preserve">Journal of Clinical Medicine, 14</w:t>
      </w:r>
      <w:r>
        <w:rPr>
          <w:rFonts w:ascii="David" w:cs="David" w:eastAsia="David" w:hAnsi="David"/>
          <w:i w:val="false"/>
          <w:iCs w:val="false"/>
          <w:noProof/>
          <w:sz w:val="24"/>
          <w:szCs w:val="24"/>
        </w:rPr>
        <w:t xml:space="preserve">(6), 1988. </w:t>
      </w:r>
      <w:hyperlink w:history="1" r:id="rIdm-qqbcmayo1jg8qcp-_hn">
        <w:r>
          <w:rPr>
            <w:rFonts w:ascii="David" w:cs="David" w:eastAsia="David" w:hAnsi="David"/>
            <w:noProof/>
            <w:color w:val="0563C1"/>
            <w:sz w:val="24"/>
            <w:szCs w:val="24"/>
            <w:u w:val="single"/>
          </w:rPr>
          <w:t xml:space="preserve">https://doi.org/10.3390/jcm14061988</w:t>
        </w:r>
      </w:hyperlink>
    </w:p>
    <w:p>
      <w:pPr>
        <w:spacing w:after="140" w:line="360"/>
        <w:ind w:left="720" w:hanging="720"/>
        <w:jc w:val="left"/>
      </w:pPr>
      <w:r>
        <w:rPr>
          <w:rFonts w:ascii="David" w:cs="David" w:eastAsia="David" w:hAnsi="David"/>
          <w:i w:val="false"/>
          <w:iCs w:val="false"/>
          <w:noProof/>
          <w:sz w:val="24"/>
          <w:szCs w:val="24"/>
        </w:rPr>
        <w:t xml:space="preserve">Tschannen-Moran, M., &amp; Woolfolk Hoy, A. (2001). Teacher efficacy: Capturing an elusive construct. </w:t>
      </w:r>
      <w:r>
        <w:rPr>
          <w:rFonts w:ascii="David" w:cs="David" w:eastAsia="David" w:hAnsi="David"/>
          <w:i/>
          <w:iCs/>
          <w:noProof/>
          <w:sz w:val="24"/>
          <w:szCs w:val="24"/>
        </w:rPr>
        <w:t xml:space="preserve">Teaching and Teacher Education, 17</w:t>
      </w:r>
      <w:r>
        <w:rPr>
          <w:rFonts w:ascii="David" w:cs="David" w:eastAsia="David" w:hAnsi="David"/>
          <w:i w:val="false"/>
          <w:iCs w:val="false"/>
          <w:noProof/>
          <w:sz w:val="24"/>
          <w:szCs w:val="24"/>
        </w:rPr>
        <w:t xml:space="preserve">(7), 783-805. </w:t>
      </w:r>
      <w:hyperlink w:history="1" r:id="rId2hm_on_f4_fyq25o7b2ro">
        <w:r>
          <w:rPr>
            <w:rFonts w:ascii="David" w:cs="David" w:eastAsia="David" w:hAnsi="David"/>
            <w:noProof/>
            <w:color w:val="0563C1"/>
            <w:sz w:val="24"/>
            <w:szCs w:val="24"/>
            <w:u w:val="single"/>
          </w:rPr>
          <w:t xml:space="preserve">https://doi.org/10.1016/S0742-051X(01)00036-1</w:t>
        </w:r>
      </w:hyperlink>
    </w:p>
    <w:p>
      <w:r>
        <w:br w:type="page"/>
      </w:r>
    </w:p>
    <w:p>
      <w:pPr>
        <w:pStyle w:val="Heading1"/>
        <w:bidi/>
        <w:spacing w:after="140" w:before="280"/>
        <w:jc w:val="right"/>
      </w:pPr>
      <w:r>
        <w:rPr>
          <w:rFonts w:ascii="David" w:cs="David" w:eastAsia="David" w:hAnsi="David"/>
          <w:b/>
          <w:bCs/>
          <w:i w:val="false"/>
          <w:iCs w:val="false"/>
          <w:noProof/>
          <w:color w:val="000000"/>
          <w:sz w:val="30"/>
          <w:szCs w:val="30"/>
          <w:rtl/>
        </w:rPr>
        <w:t xml:space="preserve">נספחים</w:t>
      </w:r>
    </w:p>
    <w:p>
      <w:pPr>
        <w:pStyle w:val="Heading2"/>
        <w:bidi/>
        <w:spacing w:after="100" w:before="180"/>
        <w:jc w:val="right"/>
      </w:pPr>
      <w:r>
        <w:rPr>
          <w:rFonts w:ascii="David" w:cs="David" w:eastAsia="David" w:hAnsi="David"/>
          <w:b/>
          <w:bCs/>
          <w:i w:val="false"/>
          <w:iCs w:val="false"/>
          <w:noProof/>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noProof/>
          <w:color w:val="000000"/>
          <w:sz w:val="24"/>
          <w:szCs w:val="24"/>
          <w:rtl/>
        </w:rPr>
        <w:t xml:space="preserve"/>
      </w:r>
    </w:p>
    <w:p>
      <w:pPr>
        <w:pStyle w:val="Heading2"/>
        <w:bidi/>
        <w:spacing w:after="100" w:before="180"/>
        <w:jc w:val="right"/>
      </w:pPr>
      <w:r>
        <w:rPr>
          <w:rFonts w:ascii="David" w:cs="David" w:eastAsia="David" w:hAnsi="David"/>
          <w:b/>
          <w:bCs/>
          <w:i w:val="false"/>
          <w:iCs w:val="false"/>
          <w:noProof/>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noProof/>
          <w:color w:val="000000"/>
          <w:sz w:val="24"/>
          <w:szCs w:val="24"/>
          <w:rtl/>
        </w:rPr>
        <w:t xml:space="preserve">בסיס המניפולציה: </w:t>
      </w:r>
      <w:r>
        <w:rPr>
          <w:rFonts w:ascii="David" w:cs="David" w:eastAsia="David" w:hAnsi="David"/>
          <w:b w:val="false"/>
          <w:bCs w:val="false"/>
          <w:i w:val="false"/>
          <w:iCs w:val="false"/>
          <w:noProof/>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noProof/>
          <w:color w:val="000000"/>
          <w:sz w:val="24"/>
          <w:szCs w:val="24"/>
          <w:rtl/>
        </w:rPr>
        <w:t xml:space="preserve">קבוצת ניסוי (חוויית שליטה): </w:t>
      </w:r>
      <w:r>
        <w:rPr>
          <w:rFonts w:ascii="David" w:cs="David" w:eastAsia="David" w:hAnsi="David"/>
          <w:b w:val="false"/>
          <w:bCs w:val="false"/>
          <w:i w:val="false"/>
          <w:iCs w:val="false"/>
          <w:noProof/>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noProof/>
          <w:color w:val="000000"/>
          <w:sz w:val="24"/>
          <w:szCs w:val="24"/>
          <w:rtl/>
        </w:rPr>
        <w:t xml:space="preserve">קבוצת השוואה (חשיפה עקיפה): </w:t>
      </w:r>
      <w:r>
        <w:rPr>
          <w:rFonts w:ascii="David" w:cs="David" w:eastAsia="David" w:hAnsi="David"/>
          <w:b w:val="false"/>
          <w:bCs w:val="false"/>
          <w:i w:val="false"/>
          <w:iCs w:val="false"/>
          <w:noProof/>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noProof/>
          <w:color w:val="000000"/>
          <w:sz w:val="24"/>
          <w:szCs w:val="24"/>
          <w:rtl/>
        </w:rPr>
        <w:t xml:space="preserve">קבוצת ביקורת: </w:t>
      </w:r>
      <w:r>
        <w:rPr>
          <w:rFonts w:ascii="David" w:cs="David" w:eastAsia="David" w:hAnsi="David"/>
          <w:b w:val="false"/>
          <w:bCs w:val="false"/>
          <w:i w:val="false"/>
          <w:iCs w:val="false"/>
          <w:noProof/>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noProof/>
          <w:color w:val="000000"/>
          <w:sz w:val="24"/>
          <w:szCs w:val="24"/>
          <w:rtl/>
        </w:rPr>
        <w:t xml:space="preserve"/>
      </w:r>
    </w:p>
    <w:p>
      <w:pPr>
        <w:pStyle w:val="Heading2"/>
        <w:bidi/>
        <w:spacing w:after="100" w:before="180"/>
        <w:jc w:val="right"/>
      </w:pPr>
      <w:r>
        <w:rPr>
          <w:rFonts w:ascii="David" w:cs="David" w:eastAsia="David" w:hAnsi="David"/>
          <w:b/>
          <w:bCs/>
          <w:i w:val="false"/>
          <w:iCs w:val="false"/>
          <w:noProof/>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noProof/>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noProof/>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noProof/>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noProof/>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noProof/>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noProof/>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noProof/>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noProof/>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noProof/>
                <w:color w:val="000000"/>
                <w:sz w:val="20"/>
                <w:szCs w:val="20"/>
                <w:rtl/>
              </w:rPr>
              <w:t xml:space="preserve"/>
            </w:r>
          </w:p>
        </w:tc>
      </w:tr>
    </w:tbl>
    <w:p>
      <w:pPr>
        <w:bidi/>
        <w:spacing w:after="160" w:before="120" w:line="360"/>
        <w:jc w:val="both"/>
      </w:pPr>
      <w:r>
        <w:rPr>
          <w:rFonts w:ascii="David" w:cs="David" w:eastAsia="David" w:hAnsi="David"/>
          <w:b/>
          <w:bCs/>
          <w:i w:val="false"/>
          <w:iCs w:val="false"/>
          <w:noProof/>
          <w:color w:val="000000"/>
          <w:sz w:val="24"/>
          <w:szCs w:val="24"/>
          <w:rtl/>
        </w:rPr>
        <w:t xml:space="preserve">על השאלון ומקורו: </w:t>
      </w:r>
      <w:r>
        <w:rPr>
          <w:rFonts w:ascii="David" w:cs="David" w:eastAsia="David" w:hAnsi="David"/>
          <w:b w:val="false"/>
          <w:bCs w:val="false"/>
          <w:i w:val="false"/>
          <w:iCs w:val="false"/>
          <w:noProof/>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noProof/>
          <w:color w:val="000000"/>
          <w:sz w:val="24"/>
          <w:szCs w:val="24"/>
          <w:rtl/>
        </w:rPr>
        <w:t xml:space="preserve">מקור: </w:t>
      </w:r>
      <w:r>
        <w:rPr>
          <w:rFonts w:ascii="David" w:cs="David" w:eastAsia="David" w:hAnsi="David"/>
          <w:i w:val="false"/>
          <w:iCs w:val="false"/>
          <w:noProof/>
          <w:sz w:val="24"/>
          <w:szCs w:val="24"/>
        </w:rPr>
        <w:t xml:space="preserve">Chen, G., Gully, S. M., &amp; Eden, D. (2001). Validation of a new general self-efficacy scale. </w:t>
      </w:r>
      <w:r>
        <w:rPr>
          <w:rFonts w:ascii="David" w:cs="David" w:eastAsia="David" w:hAnsi="David"/>
          <w:i/>
          <w:iCs/>
          <w:noProof/>
          <w:sz w:val="24"/>
          <w:szCs w:val="24"/>
        </w:rPr>
        <w:t xml:space="preserve">Organizational Research Methods, 4</w:t>
      </w:r>
      <w:r>
        <w:rPr>
          <w:rFonts w:ascii="David" w:cs="David" w:eastAsia="David" w:hAnsi="David"/>
          <w:i w:val="false"/>
          <w:iCs w:val="false"/>
          <w:noProof/>
          <w:sz w:val="24"/>
          <w:szCs w:val="24"/>
        </w:rPr>
        <w:t xml:space="preserve">(1), 62-83.</w:t>
      </w:r>
    </w:p>
    <w:p>
      <w:r>
        <w:br w:type="page"/>
      </w:r>
    </w:p>
    <w:p>
      <w:pPr>
        <w:pStyle w:val="Heading2"/>
        <w:bidi/>
        <w:spacing w:after="100" w:before="180"/>
        <w:jc w:val="right"/>
      </w:pPr>
      <w:r>
        <w:rPr>
          <w:rFonts w:ascii="David" w:cs="David" w:eastAsia="David" w:hAnsi="David"/>
          <w:b/>
          <w:bCs/>
          <w:i w:val="false"/>
          <w:iCs w:val="false"/>
          <w:noProof/>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noProof/>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noProof/>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noProof/>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noProof/>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noProof/>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noProof/>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noProof/>
          <w:color w:val="000000"/>
          <w:sz w:val="24"/>
          <w:szCs w:val="24"/>
          <w:rtl/>
        </w:rPr>
        <w:t xml:space="preserve">על השאלון ומקורו: </w:t>
      </w:r>
      <w:r>
        <w:rPr>
          <w:rFonts w:ascii="David" w:cs="David" w:eastAsia="David" w:hAnsi="David"/>
          <w:b w:val="false"/>
          <w:bCs w:val="false"/>
          <w:i w:val="false"/>
          <w:iCs w:val="false"/>
          <w:noProof/>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α=.90.</w:t>
      </w:r>
    </w:p>
    <w:p>
      <w:pPr>
        <w:bidi/>
        <w:spacing w:after="160" w:before="0" w:line="360"/>
        <w:jc w:val="both"/>
      </w:pPr>
      <w:r>
        <w:rPr>
          <w:rFonts w:ascii="David" w:cs="David" w:eastAsia="David" w:hAnsi="David"/>
          <w:b/>
          <w:bCs/>
          <w:i w:val="false"/>
          <w:iCs w:val="false"/>
          <w:noProof/>
          <w:color w:val="000000"/>
          <w:sz w:val="24"/>
          <w:szCs w:val="24"/>
          <w:rtl/>
        </w:rPr>
        <w:t xml:space="preserve">מקור: </w:t>
      </w:r>
      <w:r>
        <w:rPr>
          <w:rFonts w:ascii="David" w:cs="David" w:eastAsia="David" w:hAnsi="David"/>
          <w:i w:val="false"/>
          <w:iCs w:val="false"/>
          <w:noProof/>
          <w:sz w:val="24"/>
          <w:szCs w:val="24"/>
        </w:rPr>
        <w:t xml:space="preserve">Tschannen-Moran, M., &amp; Woolfolk Hoy, A. (2001). Teacher efficacy: Capturing an elusive construct. </w:t>
      </w:r>
      <w:r>
        <w:rPr>
          <w:rFonts w:ascii="David" w:cs="David" w:eastAsia="David" w:hAnsi="David"/>
          <w:i/>
          <w:iCs/>
          <w:noProof/>
          <w:sz w:val="24"/>
          <w:szCs w:val="24"/>
        </w:rPr>
        <w:t xml:space="preserve">Teaching and Teacher Education, 17</w:t>
      </w:r>
      <w:r>
        <w:rPr>
          <w:rFonts w:ascii="David" w:cs="David" w:eastAsia="David" w:hAnsi="David"/>
          <w:i w:val="false"/>
          <w:iCs w:val="false"/>
          <w:noProof/>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udq2oauxrbibcw33suxp" Type="http://schemas.openxmlformats.org/officeDocument/2006/relationships/hyperlink" Target="https://doi.org/10.1371/journal.pone.0285984" TargetMode="External"/><Relationship Id="rId6fuwkremz8ff6pzzcltrx" Type="http://schemas.openxmlformats.org/officeDocument/2006/relationships/hyperlink" Target="https://doi.org/10.1007/s00426-025-02136-x" TargetMode="External"/><Relationship Id="rIdc7zka5ymq5egv6ueoop0g" Type="http://schemas.openxmlformats.org/officeDocument/2006/relationships/hyperlink" Target="https://doi.org/10.1007/s40037-012-0012-5" TargetMode="External"/><Relationship Id="rIdc2ruitvil-gwz3zdddey2" Type="http://schemas.openxmlformats.org/officeDocument/2006/relationships/hyperlink" Target="https://doi.org/10.3389/feduc.2024.1385442" TargetMode="External"/><Relationship Id="rIdzewhamc5st2ope2uah7gd" Type="http://schemas.openxmlformats.org/officeDocument/2006/relationships/hyperlink" Target="https://doi.org/10.1177/109442810141004" TargetMode="External"/><Relationship Id="rIdm-qqbcmayo1jg8qcp-_hn" Type="http://schemas.openxmlformats.org/officeDocument/2006/relationships/hyperlink" Target="https://doi.org/10.3390/jcm14061988" TargetMode="External"/><Relationship Id="rId2hm_on_f4_fyq25o7b2ro" Type="http://schemas.openxmlformats.org/officeDocument/2006/relationships/hyperlink" Target="https://doi.org/10.1016/S0742-051X(01)00036-1" TargetMode="External"/><Relationship Id="rId8" Type="http://schemas.openxmlformats.org/officeDocument/2006/relationships/image" Target="media/4113a59162631ed6d7541b1a7ea512e480c5249c.jpg"/><Relationship Id="rId9" Type="http://schemas.openxmlformats.org/officeDocument/2006/relationships/image" Target="media/c901c12da345ee0631c5753ee5dd0f978deb4d6d.png"/><Relationship Id="rId10" Type="http://schemas.openxmlformats.org/officeDocument/2006/relationships/image" Target="media/5dc292dbc3b63c0dd2ef34a8ab8d82eee1fd8a7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2026-07-27T13:25:48.248Z</dcterms:created>
  <dcterms:modified xsi:type="dcterms:W3CDTF">2026-07-27T13:25:48.248Z</dcterms:modified>
</cp:coreProperties>
</file>

<file path=docProps/custom.xml><?xml version="1.0" encoding="utf-8"?>
<Properties xmlns="http://schemas.openxmlformats.org/officeDocument/2006/custom-properties" xmlns:vt="http://schemas.openxmlformats.org/officeDocument/2006/docPropsVTypes"/>
</file>