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sz w:val="26"/>
          <w:szCs w:val="26"/>
          <w:rtl/>
        </w:rPr>
        <w:t xml:space="preserve">המחלקה לגיל הרך</w:t>
      </w:r>
    </w:p>
    <w:p>
      <w:pPr>
        <w:bidi/>
        <w:spacing w:after="360" w:before="0" w:line="360" w:lineRule="auto"/>
        <w:jc w:val="center"/>
      </w:pPr>
      <w:r>
        <w:rPr>
          <w:rFonts w:ascii="Times New Roman" w:cs="David" w:eastAsia="David" w:hAnsi="Times New Roman"/>
          <w:b w:val="false"/>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sz w:val="26"/>
          <w:szCs w:val="26"/>
          <w:rtl/>
        </w:rPr>
        <w:t xml:space="preserve">מנחה: ד"ר עפר גת</w:t>
      </w:r>
    </w:p>
    <w:p>
      <w:pPr>
        <w:bidi/>
        <w:spacing w:after="120" w:before="0" w:line="360" w:lineRule="auto"/>
        <w:jc w:val="center"/>
      </w:pPr>
      <w:r>
        <w:rPr>
          <w:rFonts w:ascii="Times New Roman" w:cs="David" w:eastAsia="David" w:hAnsi="Times New Roman"/>
          <w:b w:val="false"/>
          <w:sz w:val="26"/>
          <w:szCs w:val="26"/>
          <w:rtl/>
        </w:rPr>
        <w:t xml:space="preserve">מגיש/ה: ______________</w:t>
      </w:r>
    </w:p>
    <w:p>
      <w:pPr>
        <w:bidi/>
        <w:spacing w:after="600" w:before="0" w:line="360" w:lineRule="auto"/>
        <w:jc w:val="center"/>
      </w:pPr>
      <w:r>
        <w:rPr>
          <w:rFonts w:ascii="Times New Roman" w:cs="David" w:eastAsia="David" w:hAnsi="Times New Roman"/>
          <w:b w:val="false"/>
          <w:sz w:val="26"/>
          <w:szCs w:val="26"/>
          <w:rtl/>
        </w:rPr>
        <w:t xml:space="preserve">ת"ז: ______________</w:t>
      </w:r>
    </w:p>
    <w:p>
      <w:pPr>
        <w:bidi/>
        <w:spacing w:after="0" w:before="0" w:line="360" w:lineRule="auto"/>
        <w:jc w:val="center"/>
      </w:pPr>
      <w:r>
        <w:rPr>
          <w:rFonts w:ascii="Times New Roman" w:cs="David" w:eastAsia="David" w:hAnsi="Times New Roman"/>
          <w:b w:val="false"/>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sz w:val="24"/>
          <w:szCs w:val="24"/>
          <w:rtl/>
        </w:rPr>
        <w:t xml:space="preserve">הערה: לעדכון מספרי העמודים יש ללחוץ על התוכן ולבחור "עדכן שדה".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מבוא</w:t>
      </w:r>
    </w:p>
    <w:p>
      <w:pPr>
        <w:bidi/>
        <w:spacing w:after="0" w:before="0" w:line="480" w:lineRule="auto"/>
        <w:jc w:val="both"/>
      </w:pPr>
      <w:r>
        <w:rPr>
          <w:rFonts w:ascii="Times New Roman" w:cs="David" w:eastAsia="David" w:hAnsi="Times New Roman"/>
          <w:b w:val="false"/>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סקירת ספרות</w:t>
      </w:r>
    </w:p>
    <w:p>
      <w:pPr>
        <w:bidi/>
        <w:spacing w:after="0" w:before="0" w:line="480" w:lineRule="auto"/>
        <w:jc w:val="both"/>
      </w:pPr>
      <w:r>
        <w:rPr>
          <w:rFonts w:ascii="Times New Roman" w:cs="David" w:eastAsia="David" w:hAnsi="Times New Roman"/>
          <w:b w:val="false"/>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sz w:val="26"/>
          <w:szCs w:val="26"/>
          <w:rtl/>
        </w:rPr>
        <w:t xml:space="preserve">המרחב הפיזי כסביבה חינוכית</w:t>
      </w:r>
    </w:p>
    <w:p>
      <w:pPr>
        <w:bidi/>
        <w:spacing w:after="0" w:before="0" w:line="480" w:lineRule="auto"/>
        <w:jc w:val="both"/>
      </w:pPr>
      <w:r>
        <w:rPr>
          <w:rFonts w:ascii="Times New Roman" w:cs="David" w:eastAsia="David" w:hAnsi="Times New Roman"/>
          <w:b w:val="false"/>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ולרוב היא נותרת שטוחה, חסרת צורה מוגדרת וענייה במתקנים ובצמחייה. לדבריהן, עיקר הפוטנציאל החינוכי של החצר גלום בהיותה מעין "כיכר העיר" של הילדים (זבה וצ'רצ'מן, 1988, עמ' 38): המקום שבו הילד פוגש בני גיל שונים, משחק ומשוחח, מתנהל במשא ומתן על אוספים והחלפות ומייצב את מקומו בקרב בני גילו, לצד מגע בלתי אמצעי עם הטבע.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pStyle w:val="Heading2"/>
        <w:bidi/>
        <w:spacing w:after="0" w:before="120" w:line="480" w:lineRule="auto"/>
        <w:jc w:val="start"/>
      </w:pPr>
      <w:r>
        <w:rPr>
          <w:rFonts w:ascii="Times New Roman" w:cs="David" w:eastAsia="David" w:hAnsi="Times New Roman"/>
          <w:b/>
          <w:bCs/>
          <w:sz w:val="26"/>
          <w:szCs w:val="26"/>
          <w:rtl/>
        </w:rPr>
        <w:t xml:space="preserve">חצר בית הספר וההפסקה</w:t>
      </w:r>
    </w:p>
    <w:p>
      <w:pPr>
        <w:bidi/>
        <w:spacing w:after="0" w:before="0" w:line="480" w:lineRule="auto"/>
        <w:jc w:val="both"/>
      </w:pPr>
      <w:r>
        <w:rPr>
          <w:rFonts w:ascii="Times New Roman" w:cs="David" w:eastAsia="David" w:hAnsi="Times New Roman"/>
          <w:b w:val="false"/>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sz w:val="26"/>
          <w:szCs w:val="26"/>
          <w:rtl/>
        </w:rPr>
        <w:t xml:space="preserve">משחק חופשי והתפתחות חברתית בגיל בית הספר היסודי</w:t>
      </w:r>
    </w:p>
    <w:p>
      <w:pPr>
        <w:bidi/>
        <w:spacing w:after="0" w:before="0" w:line="480" w:lineRule="auto"/>
        <w:jc w:val="both"/>
      </w:pPr>
      <w:r>
        <w:rPr>
          <w:rFonts w:ascii="Times New Roman" w:cs="David" w:eastAsia="David" w:hAnsi="Times New Roman"/>
          <w:b w:val="false"/>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sz w:val="26"/>
          <w:szCs w:val="26"/>
          <w:rtl/>
        </w:rPr>
        <w:t xml:space="preserve">תיאוריית ההזדמנויות: הסביבה כמזמנת פעולה</w:t>
      </w:r>
    </w:p>
    <w:p>
      <w:pPr>
        <w:bidi/>
        <w:spacing w:after="0" w:before="0" w:line="480" w:lineRule="auto"/>
        <w:jc w:val="both"/>
      </w:pPr>
      <w:r>
        <w:rPr>
          <w:rFonts w:ascii="Times New Roman" w:cs="David" w:eastAsia="David" w:hAnsi="Times New Roman"/>
          <w:b w:val="false"/>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וטבעיים בחצר</w:t>
      </w:r>
    </w:p>
    <w:p>
      <w:pPr>
        <w:bidi/>
        <w:spacing w:after="0" w:before="0" w:line="480" w:lineRule="auto"/>
        <w:jc w:val="both"/>
      </w:pPr>
      <w:r>
        <w:rPr>
          <w:rFonts w:ascii="Times New Roman" w:cs="David" w:eastAsia="David" w:hAnsi="Times New Roman"/>
          <w:b w:val="false"/>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w:t>
      </w:r>
    </w:p>
    <w:p>
      <w:pPr>
        <w:bidi/>
        <w:spacing w:after="0" w:before="0" w:line="480" w:lineRule="auto"/>
        <w:jc w:val="both"/>
      </w:pPr>
      <w:r>
        <w:rPr>
          <w:rFonts w:ascii="Times New Roman" w:cs="David" w:eastAsia="David" w:hAnsi="Times New Roman"/>
          <w:b w:val="false"/>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sz w:val="26"/>
          <w:szCs w:val="26"/>
          <w:rtl/>
        </w:rPr>
        <w:t xml:space="preserve">אינטראקציה חברתית, קונפליקט ומשא ומתן בהפסקה</w:t>
      </w:r>
    </w:p>
    <w:p>
      <w:pPr>
        <w:bidi/>
        <w:spacing w:after="0" w:before="0" w:line="480" w:lineRule="auto"/>
        <w:jc w:val="both"/>
      </w:pPr>
      <w:r>
        <w:rPr>
          <w:rFonts w:ascii="Times New Roman" w:cs="David" w:eastAsia="David" w:hAnsi="Times New Roman"/>
          <w:b w:val="false"/>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w:t>
      </w:r>
    </w:p>
    <w:p>
      <w:pPr>
        <w:bidi/>
        <w:spacing w:after="0" w:before="0" w:line="480" w:lineRule="auto"/>
        <w:jc w:val="both"/>
      </w:pPr>
      <w:r>
        <w:rPr>
          <w:rFonts w:ascii="Times New Roman" w:cs="David" w:eastAsia="David" w:hAnsi="Times New Roman"/>
          <w:b w:val="false"/>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שיטת המחקר</w:t>
      </w:r>
    </w:p>
    <w:p>
      <w:pPr>
        <w:pStyle w:val="Heading2"/>
        <w:bidi/>
        <w:spacing w:after="0" w:before="120" w:line="480" w:lineRule="auto"/>
        <w:jc w:val="start"/>
      </w:pPr>
      <w:r>
        <w:rPr>
          <w:rFonts w:ascii="Times New Roman" w:cs="David" w:eastAsia="David" w:hAnsi="Times New Roman"/>
          <w:b/>
          <w:bCs/>
          <w:sz w:val="26"/>
          <w:szCs w:val="26"/>
          <w:rtl/>
        </w:rPr>
        <w:t xml:space="preserve">הגישה המחקרית</w:t>
      </w:r>
    </w:p>
    <w:p>
      <w:pPr>
        <w:bidi/>
        <w:spacing w:after="0" w:before="0" w:line="480" w:lineRule="auto"/>
        <w:jc w:val="both"/>
      </w:pPr>
      <w:r>
        <w:rPr>
          <w:rFonts w:ascii="Times New Roman" w:cs="David" w:eastAsia="David" w:hAnsi="Times New Roman"/>
          <w:b w:val="false"/>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מאחר שמטרת המחקר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sz w:val="26"/>
          <w:szCs w:val="26"/>
          <w:rtl/>
        </w:rPr>
        <w:t xml:space="preserve">סוגת המחקר</w:t>
      </w:r>
    </w:p>
    <w:p>
      <w:pPr>
        <w:bidi/>
        <w:spacing w:after="0" w:before="0" w:line="480" w:lineRule="auto"/>
        <w:jc w:val="both"/>
      </w:pPr>
      <w:r>
        <w:rPr>
          <w:rFonts w:ascii="Times New Roman" w:cs="David" w:eastAsia="David" w:hAnsi="Times New Roman"/>
          <w:b w:val="false"/>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sz w:val="26"/>
          <w:szCs w:val="26"/>
          <w:rtl/>
        </w:rPr>
        <w:t xml:space="preserve">שדה המחקר והמשתתפים</w:t>
      </w:r>
    </w:p>
    <w:p>
      <w:pPr>
        <w:bidi/>
        <w:spacing w:after="0" w:before="0" w:line="480" w:lineRule="auto"/>
        <w:jc w:val="both"/>
      </w:pPr>
      <w:r>
        <w:rPr>
          <w:rFonts w:ascii="Times New Roman" w:cs="David" w:eastAsia="David" w:hAnsi="Times New Roman"/>
          <w:b w:val="false"/>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sz w:val="26"/>
          <w:szCs w:val="26"/>
          <w:rtl/>
        </w:rPr>
        <w:t xml:space="preserve">כלי המחקר</w:t>
      </w:r>
    </w:p>
    <w:p>
      <w:pPr>
        <w:bidi/>
        <w:spacing w:after="0" w:before="0" w:line="480" w:lineRule="auto"/>
        <w:jc w:val="both"/>
      </w:pPr>
      <w:r>
        <w:rPr>
          <w:rFonts w:ascii="Times New Roman" w:cs="David" w:eastAsia="David" w:hAnsi="Times New Roman"/>
          <w:b w:val="false"/>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sz w:val="26"/>
          <w:szCs w:val="26"/>
          <w:rtl/>
        </w:rPr>
        <w:t xml:space="preserve">הליך המחקר</w:t>
      </w:r>
    </w:p>
    <w:p>
      <w:pPr>
        <w:bidi/>
        <w:spacing w:after="0" w:before="0" w:line="480" w:lineRule="auto"/>
        <w:jc w:val="both"/>
      </w:pPr>
      <w:r>
        <w:rPr>
          <w:rFonts w:ascii="Times New Roman" w:cs="David" w:eastAsia="David" w:hAnsi="Times New Roman"/>
          <w:b w:val="false"/>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sz w:val="26"/>
          <w:szCs w:val="26"/>
          <w:rtl/>
        </w:rPr>
        <w:t xml:space="preserve">ניתוח הנתונים</w:t>
      </w:r>
    </w:p>
    <w:p>
      <w:pPr>
        <w:bidi/>
        <w:spacing w:after="0" w:before="0" w:line="480" w:lineRule="auto"/>
        <w:jc w:val="both"/>
      </w:pPr>
      <w:r>
        <w:rPr>
          <w:rFonts w:ascii="Times New Roman" w:cs="David" w:eastAsia="David" w:hAnsi="Times New Roman"/>
          <w:b w:val="false"/>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w:t>
      </w:r>
    </w:p>
    <w:p>
      <w:pPr>
        <w:pStyle w:val="Heading2"/>
        <w:bidi/>
        <w:spacing w:after="0" w:before="120" w:line="480" w:lineRule="auto"/>
        <w:jc w:val="start"/>
      </w:pPr>
      <w:r>
        <w:rPr>
          <w:rFonts w:ascii="Times New Roman" w:cs="David" w:eastAsia="David" w:hAnsi="Times New Roman"/>
          <w:b/>
          <w:bCs/>
          <w:sz w:val="26"/>
          <w:szCs w:val="26"/>
          <w:rtl/>
        </w:rPr>
        <w:t xml:space="preserve">אתיקה במחקר</w:t>
      </w:r>
    </w:p>
    <w:p>
      <w:pPr>
        <w:bidi/>
        <w:spacing w:after="0" w:before="0" w:line="480" w:lineRule="auto"/>
        <w:jc w:val="both"/>
      </w:pPr>
      <w:r>
        <w:rPr>
          <w:rFonts w:ascii="Times New Roman" w:cs="David" w:eastAsia="David" w:hAnsi="Times New Roman"/>
          <w:b w:val="false"/>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ממצאים</w:t>
      </w:r>
    </w:p>
    <w:p>
      <w:pPr>
        <w:bidi/>
        <w:spacing w:after="0" w:before="0" w:line="480" w:lineRule="auto"/>
        <w:jc w:val="both"/>
      </w:pPr>
      <w:r>
        <w:rPr>
          <w:rFonts w:ascii="Times New Roman" w:cs="David" w:eastAsia="David" w:hAnsi="Times New Roman"/>
          <w:b w:val="false"/>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sz w:val="26"/>
          <w:szCs w:val="26"/>
          <w:rtl/>
        </w:rPr>
        <w:t xml:space="preserve">תמה 1: 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sz w:val="24"/>
          <w:szCs w:val="24"/>
          <w:rtl/>
        </w:rPr>
        <w:t xml:space="preserve">קטגוריה 1: משחקי מרדף ותופסת</w:t>
      </w:r>
    </w:p>
    <w:p>
      <w:pPr>
        <w:bidi/>
        <w:spacing w:after="0" w:before="0" w:line="480" w:lineRule="auto"/>
        <w:jc w:val="both"/>
      </w:pPr>
      <w:r>
        <w:rPr>
          <w:rFonts w:ascii="Times New Roman" w:cs="David" w:eastAsia="David" w:hAnsi="Times New Roman"/>
          <w:b w:val="false"/>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sz w:val="24"/>
          <w:szCs w:val="24"/>
          <w:rtl/>
        </w:rPr>
        <w:t xml:space="preserve">קטגוריה 2: הדשא והמרחב הפתוח כמרחבים לתנועה</w:t>
      </w:r>
    </w:p>
    <w:p>
      <w:pPr>
        <w:bidi/>
        <w:spacing w:after="0" w:before="0" w:line="480" w:lineRule="auto"/>
        <w:jc w:val="both"/>
      </w:pPr>
      <w:r>
        <w:rPr>
          <w:rFonts w:ascii="Times New Roman" w:cs="David" w:eastAsia="David" w:hAnsi="Times New Roman"/>
          <w:b w:val="false"/>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sz w:val="24"/>
          <w:szCs w:val="24"/>
          <w:rtl/>
        </w:rPr>
        <w:t xml:space="preserve">קטגוריה 3: מעבר בין אזורי החצר בהתאם לאופי הפעילות</w:t>
      </w:r>
    </w:p>
    <w:p>
      <w:pPr>
        <w:bidi/>
        <w:spacing w:after="0" w:before="0" w:line="480" w:lineRule="auto"/>
        <w:jc w:val="both"/>
      </w:pPr>
      <w:r>
        <w:rPr>
          <w:rFonts w:ascii="Times New Roman" w:cs="David" w:eastAsia="David" w:hAnsi="Times New Roman"/>
          <w:b w:val="false"/>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sz w:val="26"/>
          <w:szCs w:val="26"/>
          <w:rtl/>
        </w:rPr>
        <w:t xml:space="preserve">תמה 2: 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sz w:val="24"/>
          <w:szCs w:val="24"/>
          <w:rtl/>
        </w:rPr>
        <w:t xml:space="preserve">קטגוריה 1: שיחות חברתיות ושיתוף חוויות</w:t>
      </w:r>
    </w:p>
    <w:p>
      <w:pPr>
        <w:bidi/>
        <w:spacing w:after="0" w:before="0" w:line="480" w:lineRule="auto"/>
        <w:jc w:val="both"/>
      </w:pPr>
      <w:r>
        <w:rPr>
          <w:rFonts w:ascii="Times New Roman" w:cs="David" w:eastAsia="David" w:hAnsi="Times New Roman"/>
          <w:b w:val="false"/>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sz w:val="24"/>
          <w:szCs w:val="24"/>
          <w:rtl/>
        </w:rPr>
        <w:t xml:space="preserve">קטגוריה 2: יצירת קשרים והצטרפות לפעילות</w:t>
      </w:r>
    </w:p>
    <w:p>
      <w:pPr>
        <w:bidi/>
        <w:spacing w:after="0" w:before="0" w:line="480" w:lineRule="auto"/>
        <w:jc w:val="both"/>
      </w:pPr>
      <w:r>
        <w:rPr>
          <w:rFonts w:ascii="Times New Roman" w:cs="David" w:eastAsia="David" w:hAnsi="Times New Roman"/>
          <w:b w:val="false"/>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sz w:val="24"/>
          <w:szCs w:val="24"/>
          <w:rtl/>
        </w:rPr>
        <w:t xml:space="preserve">קטגוריה 3: מרחבי מנוחה כמוקדי אינטראקציה</w:t>
      </w:r>
    </w:p>
    <w:p>
      <w:pPr>
        <w:bidi/>
        <w:spacing w:after="0" w:before="0" w:line="480" w:lineRule="auto"/>
        <w:jc w:val="both"/>
      </w:pPr>
      <w:r>
        <w:rPr>
          <w:rFonts w:ascii="Times New Roman" w:cs="David" w:eastAsia="David" w:hAnsi="Times New Roman"/>
          <w:b w:val="false"/>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sz w:val="26"/>
          <w:szCs w:val="26"/>
          <w:rtl/>
        </w:rPr>
        <w:t xml:space="preserve">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sz w:val="24"/>
          <w:szCs w:val="24"/>
          <w:rtl/>
        </w:rPr>
        <w:t xml:space="preserve">קטגוריה 1: שימוש באלמנטים טבעיים במשחק דמיוני</w:t>
      </w:r>
    </w:p>
    <w:p>
      <w:pPr>
        <w:bidi/>
        <w:spacing w:after="0" w:before="0" w:line="480" w:lineRule="auto"/>
        <w:jc w:val="both"/>
      </w:pPr>
      <w:r>
        <w:rPr>
          <w:rFonts w:ascii="Times New Roman" w:cs="David" w:eastAsia="David" w:hAnsi="Times New Roman"/>
          <w:b w:val="false"/>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sz w:val="24"/>
          <w:szCs w:val="24"/>
          <w:rtl/>
        </w:rPr>
        <w:t xml:space="preserve">קטגוריה 2: שיתוף פעולה וחלוקת תפקידים</w:t>
      </w:r>
    </w:p>
    <w:p>
      <w:pPr>
        <w:bidi/>
        <w:spacing w:after="0" w:before="0" w:line="480" w:lineRule="auto"/>
        <w:jc w:val="both"/>
      </w:pPr>
      <w:r>
        <w:rPr>
          <w:rFonts w:ascii="Times New Roman" w:cs="David" w:eastAsia="David" w:hAnsi="Times New Roman"/>
          <w:b w:val="false"/>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sz w:val="24"/>
          <w:szCs w:val="24"/>
          <w:rtl/>
        </w:rPr>
        <w:t xml:space="preserve">קטגוריה 3: פתרון בעיות במהלך המשחק</w:t>
      </w:r>
    </w:p>
    <w:p>
      <w:pPr>
        <w:bidi/>
        <w:spacing w:after="0" w:before="0" w:line="480" w:lineRule="auto"/>
        <w:jc w:val="both"/>
      </w:pPr>
      <w:r>
        <w:rPr>
          <w:rFonts w:ascii="Times New Roman" w:cs="David" w:eastAsia="David" w:hAnsi="Times New Roman"/>
          <w:b w:val="false"/>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sz w:val="26"/>
          <w:szCs w:val="26"/>
          <w:rtl/>
        </w:rPr>
        <w:t xml:space="preserve">תמה 4: 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sz w:val="24"/>
          <w:szCs w:val="24"/>
          <w:rtl/>
        </w:rPr>
        <w:t xml:space="preserve">קטגוריה 1: קונפליקטים סביב שימוש במרחב</w:t>
      </w:r>
    </w:p>
    <w:p>
      <w:pPr>
        <w:bidi/>
        <w:spacing w:after="0" w:before="0" w:line="480" w:lineRule="auto"/>
        <w:jc w:val="both"/>
      </w:pPr>
      <w:r>
        <w:rPr>
          <w:rFonts w:ascii="Times New Roman" w:cs="David" w:eastAsia="David" w:hAnsi="Times New Roman"/>
          <w:b w:val="false"/>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sz w:val="24"/>
          <w:szCs w:val="24"/>
          <w:rtl/>
        </w:rPr>
        <w:t xml:space="preserve">קטגוריה 2: משא ומתן ופשרה</w:t>
      </w:r>
    </w:p>
    <w:p>
      <w:pPr>
        <w:bidi/>
        <w:spacing w:after="0" w:before="0" w:line="480" w:lineRule="auto"/>
        <w:jc w:val="both"/>
      </w:pPr>
      <w:r>
        <w:rPr>
          <w:rFonts w:ascii="Times New Roman" w:cs="David" w:eastAsia="David" w:hAnsi="Times New Roman"/>
          <w:b w:val="false"/>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sz w:val="24"/>
          <w:szCs w:val="24"/>
          <w:rtl/>
        </w:rPr>
        <w:t xml:space="preserve">קטגוריה 3: תמיכה הדדית ופתרון בעיות</w:t>
      </w:r>
    </w:p>
    <w:p>
      <w:pPr>
        <w:bidi/>
        <w:spacing w:after="0" w:before="0" w:line="480" w:lineRule="auto"/>
        <w:jc w:val="both"/>
      </w:pPr>
      <w:r>
        <w:rPr>
          <w:rFonts w:ascii="Times New Roman" w:cs="David" w:eastAsia="David" w:hAnsi="Times New Roman"/>
          <w:b w:val="false"/>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סיכום התמה</w:t>
      </w:r>
    </w:p>
    <w:p>
      <w:pPr>
        <w:bidi/>
        <w:spacing w:after="0" w:before="0" w:line="480" w:lineRule="auto"/>
        <w:jc w:val="both"/>
      </w:pPr>
      <w:r>
        <w:rPr>
          <w:rFonts w:ascii="Times New Roman" w:cs="David" w:eastAsia="David" w:hAnsi="Times New Roman"/>
          <w:b w:val="false"/>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sz w:val="32"/>
          <w:szCs w:val="32"/>
          <w:rtl/>
        </w:rPr>
        <w:t xml:space="preserve">דיון</w:t>
      </w:r>
    </w:p>
    <w:p>
      <w:pPr>
        <w:bidi/>
        <w:spacing w:after="0" w:before="0" w:line="480" w:lineRule="auto"/>
        <w:jc w:val="both"/>
      </w:pPr>
      <w:r>
        <w:rPr>
          <w:rFonts w:ascii="Times New Roman" w:cs="David" w:eastAsia="David" w:hAnsi="Times New Roman"/>
          <w:b w:val="false"/>
          <w:sz w:val="24"/>
          <w:szCs w:val="24"/>
          <w:rtl/>
        </w:rPr>
        <w:t xml:space="preserve">מטרתו של פרק זה למקם את ממצאי המחקר בתוך הידע הקיים: לבחון היכן הם תומכים בספרות, היכן הם מוסיפים לה והיכן הם עומדים בניגוד לה. הפרק בנוי כתמונת מראה לפרק הממצאים ודן בארבע התמות כסדרן, ובסופו מוצגות מגבלות המחקר והצעות להמשך.</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למשחק, תנועה ופעילות גופנית</w:t>
      </w:r>
    </w:p>
    <w:p>
      <w:pPr>
        <w:bidi/>
        <w:spacing w:after="0" w:before="0" w:line="480" w:lineRule="auto"/>
        <w:jc w:val="both"/>
      </w:pPr>
      <w:r>
        <w:rPr>
          <w:rFonts w:ascii="Times New Roman" w:cs="David" w:eastAsia="David" w:hAnsi="Times New Roman"/>
          <w:b w:val="false"/>
          <w:sz w:val="24"/>
          <w:szCs w:val="24"/>
          <w:rtl/>
        </w:rPr>
        <w:t xml:space="preserve">התמה הראשונה העלתה שהתלמידים גייסו את האלמנטים הפיזיים לארגון המשחק התנועתי: העצים שימשו מסתור, הדשא שימש מרחב ריצה והשביל הוגדר גבול משחק. ממצא זה תומך בספרות המלמדת שמבנה החצר מעצב את היקף הפעילות ואת סוגה (Lemberg et al., 2023; Schipperijn et al., 2024), ומתיישב היטב עם תיאוריית ההזדמנויות, שלפיה הילדים קוראים את המרחב דרך מה שאפשר לעשות בו (J. J. Gibson, 1979; Kyttä, 2004). לצד התמיכה יש כאן גם תוספת: בעוד שמחקרי ההזדמנויות מתארים בעיקר את הפעולה שהאלמנט מזמן, התצפיות הראו שהתלמידים הופכים את האלמנט לכלל חברתי מוסכם, כדוגמת ההחלטה שאין לחצות את השביל. האלמנט הפיזי אינו רק מזמן פעולה; הוא מגויס לחוקת המשחק.</w:t>
      </w:r>
    </w:p>
    <w:p>
      <w:pPr>
        <w:pStyle w:val="Heading2"/>
        <w:bidi/>
        <w:spacing w:after="0" w:before="120" w:line="480" w:lineRule="auto"/>
        <w:jc w:val="start"/>
      </w:pPr>
      <w:r>
        <w:rPr>
          <w:rFonts w:ascii="Times New Roman" w:cs="David" w:eastAsia="David" w:hAnsi="Times New Roman"/>
          <w:b/>
          <w:bCs/>
          <w:sz w:val="26"/>
          <w:szCs w:val="26"/>
          <w:rtl/>
        </w:rPr>
        <w:t xml:space="preserve">החצר כמרחב ליצירת קשרים חברתיים ולשיחה</w:t>
      </w:r>
    </w:p>
    <w:p>
      <w:pPr>
        <w:bidi/>
        <w:spacing w:after="0" w:before="0" w:line="480" w:lineRule="auto"/>
        <w:jc w:val="both"/>
      </w:pPr>
      <w:r>
        <w:rPr>
          <w:rFonts w:ascii="Times New Roman" w:cs="David" w:eastAsia="David" w:hAnsi="Times New Roman"/>
          <w:b w:val="false"/>
          <w:sz w:val="24"/>
          <w:szCs w:val="24"/>
          <w:rtl/>
        </w:rPr>
        <w:t xml:space="preserve">התמה השנייה העלתה שהספסלים, שולחנות העץ והגדר שימשו מוקדי מפגש, שיחה והצטרפות. הדבר תומך בממצאים שלפיהם אזורים מסוימים בחצר מתפקדים כמוקדי התקבצות חברתית (Nasri et al., 2022) ושאינטראקציות פרו-חברתיות מעוגנות באזורים מוגדרים, ובהם אזורי ישיבה וצל (Hazlehurst et al., 2023; Raney et al., 2023). התצפיות מוסיפות לתמונה הכמותית הזו תיאור מיקרו של התהליך עצמו: כיצד תלמידה היושבת לבדה על ספסל הופכת למוקד של מפגש, וכיצד קבוצה בונה מפנה מקום לילדה מצטרפת ומסבירה לה את כללי המשחק. תהליכי הצטרפות אלה, שתועדו בספרות בעיקר בגיל הגן (יריב ואחרים, 2022), נצפו כאן מתרחשים באופן עצמאי סביב אלמנטים פיזיים בחצר בית הספר. בכך מקבל אישוש תצפיתי תיאורן המוקדם של זבה וצ'רצ'מן (1988) את החצר כ"כיכר העיר" של הילדים: הזירה היומיומית שבה נפגשים, משוחחים ומייצבים מעמד חברתי.</w:t>
      </w:r>
    </w:p>
    <w:p>
      <w:pPr>
        <w:pStyle w:val="Heading2"/>
        <w:bidi/>
        <w:spacing w:after="0" w:before="120" w:line="480" w:lineRule="auto"/>
        <w:jc w:val="start"/>
      </w:pPr>
      <w:r>
        <w:rPr>
          <w:rFonts w:ascii="Times New Roman" w:cs="David" w:eastAsia="David" w:hAnsi="Times New Roman"/>
          <w:b/>
          <w:bCs/>
          <w:sz w:val="26"/>
          <w:szCs w:val="26"/>
          <w:rtl/>
        </w:rPr>
        <w:t xml:space="preserve">אלמנטים פיזיים כבסיס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התמה השלישית העלתה שהתלמידים השתמשו בענפים, בעלים ובאבנים כחומרי משחק פתוחים ובנו מהם בית ועיר קטנה תוך חלוקת תפקידים ופתרון בעיות. ממצא זה תומך במחקרי החלקים הפתוחים, המצביעים על תרומת חומרים ללא ייעוד קבוע להתפתחות קוגניטיבית, חברתית ורגשית (Flannigan &amp; Dietze, 2017; J. L. Gibson et al., 2017), ובממצא שלפיו אלמנטים מבוססי טבע מרחיבים את רפרטואר המשחק אל עבר משחק דמיוני ושקט (Raney et al., 2023). התוספת של המחקר הנוכחי היא בתיעוד רצף שלם של אירוע: יוזמה, איסוף חומרים, חלוקת עבודה, קריסת המבנה, ניסיון מחודש ומשחק תפקידים בתוך התוצר. הרצף ממחיש שהערך ההתפתחותי אינו טמון בחומר עצמו אלא בתהליך החברתי שהוא מזמן.</w:t>
      </w:r>
    </w:p>
    <w:p>
      <w:pPr>
        <w:pStyle w:val="Heading2"/>
        <w:bidi/>
        <w:spacing w:after="0" w:before="120" w:line="480" w:lineRule="auto"/>
        <w:jc w:val="start"/>
      </w:pPr>
      <w:r>
        <w:rPr>
          <w:rFonts w:ascii="Times New Roman" w:cs="David" w:eastAsia="David" w:hAnsi="Times New Roman"/>
          <w:b/>
          <w:bCs/>
          <w:sz w:val="26"/>
          <w:szCs w:val="26"/>
          <w:rtl/>
        </w:rPr>
        <w:t xml:space="preserve">החצר כזירה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התמה הרביעית העלתה שהאלמנטים הפיזיים היו גם מושא למחלוקת: הוויכוח על מקום הישיבה על הספסל הסלים עד דחיפה קלה, ונפתר בהצעת פשרה של תלמיד שלישי. הספרות מתעדת קונפליקטים על שטח כחסם מרכזי לפעילות בהפסקה (Pawlowski et al., 2014). המחקר הנוכחי מציג תמונה שונה במקצת, ואפשר לראות בה חידוש על דרך הניגוד: הקונפליקט סביב הספסל לא נותר חסם אלא הפך זירת למידה חברתית, שבה אותו אלמנט פיזי שעורר את המחלוקת שימש גם אמצעי לפתרונה, באמצעות חלוקת המרחב בין הצדדים. נראה אפוא שבתנאים מסוימים, ובהם נוכחות עמיתים מתווכים, המשאב הפיזי המוגבל מזמן דווקא התנסות במשא ומתן ובפשרה. לממצא זה גם השלכה מעשית: מערכת החינוך משקיעה כיום מאמץ מכוון בפיתוח כשירות חברתית של תלמידים, בהובלת הצוותים החינוכיים והיועצות ובשיתוף ההורים (כורם, 2022), והתצפיות מלמדות שההפסקה בחצר היא זירה טבעית שבה כשירות זו נבנית גם ללא תיווך של מבוגר.</w:t>
      </w:r>
    </w:p>
    <w:p>
      <w:pPr>
        <w:pStyle w:val="Heading2"/>
        <w:bidi/>
        <w:spacing w:after="0" w:before="120" w:line="480" w:lineRule="auto"/>
        <w:jc w:val="start"/>
      </w:pPr>
      <w:r>
        <w:rPr>
          <w:rFonts w:ascii="Times New Roman" w:cs="David" w:eastAsia="David" w:hAnsi="Times New Roman"/>
          <w:b/>
          <w:bCs/>
          <w:sz w:val="26"/>
          <w:szCs w:val="26"/>
          <w:rtl/>
        </w:rPr>
        <w:t xml:space="preserve">מגבלות המחקר והצעות להמשך</w:t>
      </w:r>
    </w:p>
    <w:p>
      <w:pPr>
        <w:bidi/>
        <w:spacing w:after="0" w:before="0" w:line="480" w:lineRule="auto"/>
        <w:jc w:val="both"/>
      </w:pPr>
      <w:r>
        <w:rPr>
          <w:rFonts w:ascii="Times New Roman" w:cs="David" w:eastAsia="David" w:hAnsi="Times New Roman"/>
          <w:b w:val="false"/>
          <w:sz w:val="24"/>
          <w:szCs w:val="24"/>
          <w:rtl/>
        </w:rPr>
        <w:t xml:space="preserve">למחקר כמה מגבלות.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כמו כן,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sz w:val="32"/>
          <w:szCs w:val="32"/>
          <w:rtl/>
        </w:rPr>
        <w:t xml:space="preserve">סיכום</w:t>
      </w:r>
    </w:p>
    <w:p>
      <w:pPr>
        <w:bidi/>
        <w:spacing w:after="0" w:before="0" w:line="480" w:lineRule="auto"/>
        <w:jc w:val="both"/>
      </w:pPr>
      <w:r>
        <w:rPr>
          <w:rFonts w:ascii="Times New Roman" w:cs="David" w:eastAsia="David" w:hAnsi="Times New Roman"/>
          <w:b w:val="false"/>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sz w:val="32"/>
          <w:szCs w:val="32"/>
          <w:rtl/>
        </w:rPr>
        <w:t xml:space="preserve">רשימת מקורות</w:t>
      </w:r>
    </w:p>
    <w:p>
      <w:pPr>
        <w:bidi/>
        <w:spacing w:line="480" w:lineRule="auto"/>
        <w:ind w:start="709" w:hanging="709"/>
        <w:jc w:val="start"/>
      </w:pPr>
      <w:r>
        <w:rPr>
          <w:rFonts w:ascii="Times New Roman" w:cs="David" w:eastAsia="David" w:hAnsi="Times New Roman"/>
          <w:b w:val="false"/>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sz w:val="24"/>
          <w:szCs w:val="24"/>
        </w:rPr>
        <w:t xml:space="preserve">Strauss, A., &amp; Corbin, J. (1994). Grounded theory methodology: An overview. In N. K. Denzin &amp; Y. S. Lincoln (Eds.), Handbook of qualitative research (pp. 273-285). Sage.</w:t>
      </w:r>
    </w:p>
    <w:p>
      <w:pPr>
        <w:pStyle w:val="Heading1"/>
        <w:pageBreakBefore/>
        <w:bidi/>
        <w:spacing w:after="120" w:before="0" w:line="480" w:lineRule="auto"/>
        <w:jc w:val="center"/>
      </w:pPr>
      <w:r>
        <w:rPr>
          <w:rFonts w:ascii="Times New Roman" w:cs="David" w:eastAsia="David" w:hAnsi="Times New Roman"/>
          <w:b/>
          <w:bCs/>
          <w:sz w:val="32"/>
          <w:szCs w:val="32"/>
          <w:rtl/>
        </w:rPr>
        <w:t xml:space="preserve">נספחים</w:t>
      </w:r>
    </w:p>
    <w:p>
      <w:pPr>
        <w:pStyle w:val="Heading2"/>
        <w:bidi/>
        <w:spacing w:after="0" w:before="120" w:line="480" w:lineRule="auto"/>
        <w:jc w:val="start"/>
      </w:pPr>
      <w:r>
        <w:rPr>
          <w:rFonts w:ascii="Times New Roman" w:cs="David" w:eastAsia="David" w:hAnsi="Times New Roman"/>
          <w:b/>
          <w:bCs/>
          <w:sz w:val="26"/>
          <w:szCs w:val="26"/>
          <w:rtl/>
        </w:rPr>
        <w:t xml:space="preserve">נספח א': תצפיות המחקר</w:t>
      </w:r>
    </w:p>
    <w:p>
      <w:pPr>
        <w:bidi/>
        <w:spacing w:after="0" w:before="0" w:line="480" w:lineRule="auto"/>
        <w:jc w:val="both"/>
      </w:pPr>
      <w:r>
        <w:rPr>
          <w:rFonts w:ascii="Times New Roman" w:cs="David" w:eastAsia="David" w:hAnsi="Times New Roman"/>
          <w:b w:val="false"/>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sz w:val="24"/>
          <w:szCs w:val="24"/>
          <w:rtl/>
        </w:rPr>
        <w:t xml:space="preserve">תאריך: 11.01.2026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sz w:val="24"/>
          <w:szCs w:val="24"/>
          <w:rtl/>
        </w:rPr>
        <w:t xml:space="preserve">תאריך: 13.01.2026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sz w:val="24"/>
          <w:szCs w:val="24"/>
          <w:rtl/>
        </w:rPr>
        <w:t xml:space="preserve">תאריך: 21.01.2026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sz w:val="24"/>
          <w:szCs w:val="24"/>
          <w:rtl/>
        </w:rPr>
        <w:t xml:space="preserve">תאריך: 04.02.2026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sz w:val="24"/>
          <w:szCs w:val="24"/>
          <w:rtl/>
        </w:rPr>
        <w:t xml:space="preserve">תאריך: 08.02.2026</w:t>
      </w:r>
    </w:p>
    <w:p>
      <w:pPr>
        <w:bidi/>
        <w:spacing w:after="0" w:before="0" w:line="480" w:lineRule="auto"/>
        <w:jc w:val="both"/>
      </w:pPr>
      <w:r>
        <w:rPr>
          <w:rFonts w:ascii="Times New Roman" w:cs="David" w:eastAsia="David" w:hAnsi="Times New Roman"/>
          <w:b w:val="false"/>
          <w:sz w:val="24"/>
          <w:szCs w:val="24"/>
          <w:rtl/>
        </w:rPr>
        <w:t xml:space="preserve">יום: ראשון</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sz w:val="24"/>
          <w:szCs w:val="24"/>
          <w:rtl/>
        </w:rPr>
        <w:t xml:space="preserve">תאריך: 10.02.2026</w:t>
      </w:r>
    </w:p>
    <w:p>
      <w:pPr>
        <w:bidi/>
        <w:spacing w:after="0" w:before="0" w:line="480" w:lineRule="auto"/>
        <w:jc w:val="both"/>
      </w:pPr>
      <w:r>
        <w:rPr>
          <w:rFonts w:ascii="Times New Roman" w:cs="David" w:eastAsia="David" w:hAnsi="Times New Roman"/>
          <w:b w:val="false"/>
          <w:sz w:val="24"/>
          <w:szCs w:val="24"/>
          <w:rtl/>
        </w:rPr>
        <w:t xml:space="preserve">יום: שלישי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sz w:val="24"/>
          <w:szCs w:val="24"/>
          <w:rtl/>
        </w:rPr>
        <w:t xml:space="preserve">תאריך: 11.02.2026</w:t>
      </w:r>
    </w:p>
    <w:p>
      <w:pPr>
        <w:bidi/>
        <w:spacing w:after="0" w:before="0" w:line="480" w:lineRule="auto"/>
        <w:jc w:val="both"/>
      </w:pPr>
      <w:r>
        <w:rPr>
          <w:rFonts w:ascii="Times New Roman" w:cs="David" w:eastAsia="David" w:hAnsi="Times New Roman"/>
          <w:b w:val="false"/>
          <w:sz w:val="24"/>
          <w:szCs w:val="24"/>
          <w:rtl/>
        </w:rPr>
        <w:t xml:space="preserve">יום: רביעי</w:t>
      </w:r>
    </w:p>
    <w:p>
      <w:pPr>
        <w:bidi/>
        <w:spacing w:after="0" w:before="0" w:line="480" w:lineRule="auto"/>
        <w:jc w:val="both"/>
      </w:pPr>
      <w:r>
        <w:rPr>
          <w:rFonts w:ascii="Times New Roman" w:cs="David" w:eastAsia="David" w:hAnsi="Times New Roman"/>
          <w:b w:val="false"/>
          <w:sz w:val="24"/>
          <w:szCs w:val="24"/>
          <w:rtl/>
        </w:rPr>
        <w:t xml:space="preserve">שעה: 11:25-11:40</w:t>
      </w:r>
    </w:p>
    <w:p>
      <w:pPr>
        <w:bidi/>
        <w:spacing w:after="0" w:before="0" w:line="480" w:lineRule="auto"/>
        <w:jc w:val="both"/>
      </w:pPr>
      <w:r>
        <w:rPr>
          <w:rFonts w:ascii="Times New Roman" w:cs="David" w:eastAsia="David" w:hAnsi="Times New Roman"/>
          <w:b w:val="false"/>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2026-08-24T17:55:52.624Z</dcterms:created>
  <dcterms:modified xsi:type="dcterms:W3CDTF">2026-08-24T17:55:52.624Z</dcterms:modified>
</cp:coreProperties>
</file>

<file path=docProps/custom.xml><?xml version="1.0" encoding="utf-8"?>
<Properties xmlns="http://schemas.openxmlformats.org/officeDocument/2006/custom-properties" xmlns:vt="http://schemas.openxmlformats.org/officeDocument/2006/docPropsVTypes"/>
</file>