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5621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762000"/>
                    </a:xfrm>
                    <a:prstGeom prst="rect">
                      <a:avLst/>
                    </a:prstGeom>
                  </pic:spPr>
                </pic:pic>
              </a:graphicData>
            </a:graphic>
          </wp:inline>
        </w:drawing>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אף הכוהנים בני לוי נוכחים בטקס ומבקשים כפרה לעם כולו, כך שהאחריות נפרשת על כל שדרות ההנהגה, המשפטית והדתית כאחת. המקור ממחיש את תנועתם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היא נעשתה מעין זיכרון 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נבנו כפירוש עליה, הירושלמי בגליל והבבלי בישיבות בבל, כל אחד בארמית של מקומו, ודווקא המרחק בין שני המרכזים ממחיש את כוחה: טקסט אחד שסביבו יכלו שתי קהילות רחוקות לנהל שיח לימודי אחד. 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 גם שתי הבקשות הנוספות נקראות אצלה באותו מפתח: שושלת רבן גמליאל, מזרע בית דוד, מגשרת בין העולם הישן לחדש ומבטיחה רציפות של הנהגה, וריפויו של רבי צדוק הוא הצלת שריד חי של ירושלים החרבה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כפי שנלמד במפגשי הקורס</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כשרבן יוחנן שולח את תלמידיו לברר, מתגלה בפונדקו של אליעזר שק שהוא נובר בו, וכשפותחים אותו מוצאים בו עפר: התלמיד שהתבייש להודות ברעבונו מצץ עפר. כך מגלה הרב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אף הוא במפגשים, יושב רבי עקיבא שנים לפני רבי אליעזר ולומד מפיו: הבור הסוד נעשה בעצמו רבו של גדול הדרשנים. בסופו של דבר, הדמות העולה מן המקורות כולם היא אחת: אדם שוויתר על ירושת אביו למען התורה, ומשקנה אותה בייסורים, שמר עליה, על תכניה ועל גבולותיה, בקנאות של מי שיודע מה מחירה.</w:t>
      </w:r>
    </w:p>
    <w:p>
      <w:r>
        <w:br w:type="page"/>
      </w:r>
    </w:p>
    <w:p>
      <w:pPr>
        <w:bidi/>
        <w:spacing w:after="120" w:before="240" w:line="360" w:lineRule="auto"/>
        <w:jc w:val="right"/>
      </w:pPr>
      <w:r>
        <w:rPr>
          <w:rFonts w:ascii="David" w:cs="David" w:eastAsia="David" w:hAnsi="David"/>
          <w:b/>
          <w:bCs/>
          <w:sz w:val="28"/>
          <w:szCs w:val="28"/>
          <w:rtl/>
        </w:rPr>
        <w:t xml:space="preserve">ביבליוגרפיה</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הבשר שברוח: שיח המיניות בתלמוד. תל אביב: עם עובד, תשנ"ט.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sz w:val="24"/>
          <w:szCs w:val="24"/>
          <w:rtl/>
        </w:rPr>
        <w:t xml:space="preserve">רוזן-צבי, ישי. "מבוא למשנה". ספרות חז"ל הארץ-ישראלית, א. עורכים מנחם כהנא ואחרים. ירושלים, תשע"ח. 1-64.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דברים כא, א-ט; משנה, סוטה ט, ו; בבלי, סוטה מו ע"ב.</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תל אביב: ידיעות אחרונות; ישי רוזן-צבי, "מבוא למשנה", ספרות חז"ל הארץ-ישראלית א, בעריכת מנחם כהנא ואחרים, ירושלים, תשע"ח, עמ' 1-64.</w:t>
      </w:r>
    </w:p>
  </w:footnote>
  <w:footnote w:id="5">
    <w:p>
      <w:pPr>
        <w:bidi/>
        <w:jc w:val="right"/>
      </w:pPr>
      <w:r>
        <w:rPr>
          <w:rStyle w:val="FootnoteReference"/>
        </w:rPr>
        <w:footnoteRef/>
      </w:r>
      <w:r>
        <w:rPr>
          <w:rFonts w:ascii="David" w:cs="David" w:eastAsia="David" w:hAnsi="David"/>
          <w:sz w:val="20"/>
          <w:szCs w:val="20"/>
          <w:rtl/>
        </w:rPr>
        <w:t xml:space="preserve"> ישי רוזן-צבי, "מבוא למשנה", ספרות חז"ל הארץ-ישראלית א, בעריכת מנחם כהנא ואחרים, ירושלים, תשע"ח, עמ' 1-64; משה הלברטל, "מבוא למשנה", שישה סדרי משנה, תל אביב: ידיעות אחרונות.</w:t>
      </w:r>
    </w:p>
  </w:footnote>
  <w:footnote w:id="6">
    <w:p>
      <w:pPr>
        <w:bidi/>
        <w:jc w:val="right"/>
      </w:pPr>
      <w:r>
        <w:rPr>
          <w:rStyle w:val="FootnoteReference"/>
        </w:rPr>
        <w:footnoteRef/>
      </w:r>
      <w:r>
        <w:rPr>
          <w:rFonts w:ascii="David" w:cs="David" w:eastAsia="David" w:hAnsi="David"/>
          <w:sz w:val="20"/>
          <w:szCs w:val="20"/>
          <w:rtl/>
        </w:rPr>
        <w:t xml:space="preserve"> ישי רוזן-צבי, "מבוא למשנה", ספרות חז"ל הארץ-ישראלית א, בעריכת מנחם כהנא ואחרים, ירושלים, תשע"ח, עמ' 1-64; משה הלברטל, "מבוא למשנה", שישה סדרי משנה, תל אביב: ידיעות אחרונות.</w:t>
      </w:r>
    </w:p>
  </w:footnote>
  <w:footnote w:id="7">
    <w:p>
      <w:pPr>
        <w:bidi/>
        <w:jc w:val="right"/>
      </w:pPr>
      <w:r>
        <w:rPr>
          <w:rStyle w:val="FootnoteReference"/>
        </w:rPr>
        <w:footnoteRef/>
      </w:r>
      <w:r>
        <w:rPr>
          <w:rFonts w:ascii="David" w:cs="David" w:eastAsia="David" w:hAnsi="David"/>
          <w:sz w:val="20"/>
          <w:szCs w:val="20"/>
          <w:rtl/>
        </w:rPr>
        <w:t xml:space="preserve"> משנה, סוכה א, א.</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בתרגום לעברית.</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מקבילות: אבות דרבי נתן, נוסח א; בראשית רבה מב, א; תנחומא בובר, לך לך י.</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פרקי דרבי אליעזר, פרקים א-ב, ומקבילות; דברי רבי אליעזר בסיום הסיפור.</w:t>
      </w:r>
    </w:p>
  </w:footnote>
  <w:footnote w:id="21">
    <w:p>
      <w:pPr>
        <w:bidi/>
        <w:jc w:val="right"/>
      </w:pPr>
      <w:r>
        <w:rPr>
          <w:rStyle w:val="FootnoteReference"/>
        </w:rPr>
        <w:footnoteRef/>
      </w:r>
      <w:r>
        <w:rPr>
          <w:rFonts w:ascii="David" w:cs="David" w:eastAsia="David" w:hAnsi="David"/>
          <w:sz w:val="20"/>
          <w:szCs w:val="20"/>
          <w:rtl/>
        </w:rPr>
        <w:t xml:space="preserve"> בבלי, בבא בתרא יב ע"א: "חכם עדיף מנביא".</w:t>
      </w:r>
    </w:p>
  </w:footnote>
  <w:footnote w:id="22">
    <w:p>
      <w:pPr>
        <w:bidi/>
        <w:jc w:val="right"/>
      </w:pPr>
      <w:r>
        <w:rPr>
          <w:rStyle w:val="FootnoteReference"/>
        </w:rPr>
        <w:footnoteRef/>
      </w:r>
      <w:r>
        <w:rPr>
          <w:rFonts w:ascii="David" w:cs="David" w:eastAsia="David" w:hAnsi="David"/>
          <w:sz w:val="20"/>
          <w:szCs w:val="20"/>
          <w:rtl/>
        </w:rPr>
        <w:t xml:space="preserve"> משנה, אבות ב, ח.</w:t>
      </w:r>
    </w:p>
  </w:footnote>
  <w:footnote w:id="23">
    <w:p>
      <w:pPr>
        <w:bidi/>
        <w:jc w:val="right"/>
      </w:pPr>
      <w:r>
        <w:rPr>
          <w:rStyle w:val="FootnoteReference"/>
        </w:rPr>
        <w:footnoteRef/>
      </w:r>
      <w:r>
        <w:rPr>
          <w:rFonts w:ascii="David" w:cs="David" w:eastAsia="David" w:hAnsi="David"/>
          <w:sz w:val="20"/>
          <w:szCs w:val="20"/>
          <w:rtl/>
        </w:rPr>
        <w:t xml:space="preserve"> פרקי דרבי אליעזר, פרקים א-ב, ומקבילות.</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07874049be16710f86d66a94f6c5373126a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2026-07-30T12:55:41.588Z</dcterms:created>
  <dcterms:modified xsi:type="dcterms:W3CDTF">2026-07-30T12:55:41.588Z</dcterms:modified>
</cp:coreProperties>
</file>

<file path=docProps/custom.xml><?xml version="1.0" encoding="utf-8"?>
<Properties xmlns="http://schemas.openxmlformats.org/officeDocument/2006/custom-properties" xmlns:vt="http://schemas.openxmlformats.org/officeDocument/2006/docPropsVTypes"/>
</file>