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500"/>
      </w:pPr>
    </w:p>
    <w:p>
      <w:pPr>
        <w:bidi/>
        <w:spacing w:after="160" w:before="0"/>
        <w:jc w:val="center"/>
      </w:pPr>
      <w:r>
        <w:rPr>
          <w:rFonts w:ascii="David" w:cs="David" w:eastAsia="David" w:hAnsi="David"/>
          <w:b/>
          <w:bCs/>
          <w:i w:val="false"/>
          <w:iCs w:val="false"/>
          <w:color w:val="000000"/>
          <w:sz w:val="30"/>
          <w:szCs w:val="30"/>
          <w:rtl/>
        </w:rPr>
        <w:t xml:space="preserve">המרכז האקדמי פרס</w:t>
      </w:r>
    </w:p>
    <w:p>
      <w:pPr>
        <w:bidi/>
        <w:spacing w:after="900" w:before="0"/>
        <w:jc w:val="center"/>
      </w:pPr>
      <w:r>
        <w:rPr>
          <w:rFonts w:ascii="David" w:cs="David" w:eastAsia="David" w:hAnsi="David"/>
          <w:b/>
          <w:bCs/>
          <w:i w:val="false"/>
          <w:iCs w:val="false"/>
          <w:color w:val="000000"/>
          <w:sz w:val="26"/>
          <w:szCs w:val="26"/>
          <w:rtl/>
        </w:rPr>
        <w:t xml:space="preserve">החוג למדעי ההתנהגות</w:t>
      </w:r>
    </w:p>
    <w:p>
      <w:pPr>
        <w:pBdr>
          <w:top w:val="single" w:color="000000" w:sz="6" w:space="6"/>
          <w:bottom w:val="single" w:color="000000" w:sz="6" w:space="6"/>
        </w:pBdr>
        <w:bidi/>
        <w:spacing w:after="40" w:before="40"/>
        <w:jc w:val="center"/>
      </w:pPr>
      <w:r>
        <w:rPr>
          <w:rFonts w:ascii="David" w:cs="David" w:eastAsia="David" w:hAnsi="David"/>
          <w:b/>
          <w:bCs/>
          <w:i w:val="false"/>
          <w:iCs w:val="false"/>
          <w:color w:val="000000"/>
          <w:sz w:val="34"/>
          <w:szCs w:val="34"/>
          <w:rtl/>
        </w:rPr>
        <w:t xml:space="preserve">השפעת חוויית שליטה וחשיפה עקיפה על תחושת החוללות העצמית</w:t>
      </w:r>
    </w:p>
    <w:p>
      <w:pPr>
        <w:bidi/>
        <w:spacing w:after="900" w:before="120"/>
        <w:jc w:val="center"/>
      </w:pPr>
      <w:r>
        <w:rPr>
          <w:rFonts w:ascii="David" w:cs="David" w:eastAsia="David" w:hAnsi="David"/>
          <w:b w:val="false"/>
          <w:bCs w:val="false"/>
          <w:i/>
          <w:iCs/>
          <w:color w:val="000000"/>
          <w:sz w:val="24"/>
          <w:szCs w:val="24"/>
          <w:rtl/>
        </w:rPr>
        <w:t xml:space="preserve">עבודת מחקר אמפירית במסגרת הקורס "פסיכולוגיה ניסויית"</w:t>
      </w:r>
    </w:p>
    <w:p>
      <w:pPr>
        <w:bidi/>
        <w:spacing w:after="140" w:before="0"/>
        <w:jc w:val="center"/>
      </w:pPr>
      <w:r>
        <w:rPr>
          <w:rFonts w:ascii="David" w:cs="David" w:eastAsia="David" w:hAnsi="David"/>
          <w:b w:val="false"/>
          <w:bCs w:val="false"/>
          <w:i w:val="false"/>
          <w:iCs w:val="false"/>
          <w:color w:val="000000"/>
          <w:sz w:val="24"/>
          <w:szCs w:val="24"/>
          <w:rtl/>
        </w:rPr>
        <w:t xml:space="preserve">שמות המגישים: ______________________</w:t>
      </w:r>
    </w:p>
    <w:p>
      <w:pPr>
        <w:bidi/>
        <w:spacing w:after="140" w:before="0"/>
        <w:jc w:val="center"/>
      </w:pPr>
      <w:r>
        <w:rPr>
          <w:rFonts w:ascii="David" w:cs="David" w:eastAsia="David" w:hAnsi="David"/>
          <w:b w:val="false"/>
          <w:bCs w:val="false"/>
          <w:i w:val="false"/>
          <w:iCs w:val="false"/>
          <w:color w:val="000000"/>
          <w:sz w:val="24"/>
          <w:szCs w:val="24"/>
          <w:rtl/>
        </w:rPr>
        <w:t xml:space="preserve">שם המתרגל/ת: ______________________</w:t>
      </w:r>
    </w:p>
    <w:p>
      <w:pPr>
        <w:bidi/>
        <w:spacing w:after="0" w:before="0"/>
        <w:jc w:val="center"/>
      </w:pPr>
      <w:r>
        <w:rPr>
          <w:rFonts w:ascii="David" w:cs="David" w:eastAsia="David" w:hAnsi="David"/>
          <w:b w:val="false"/>
          <w:bCs w:val="false"/>
          <w:i w:val="false"/>
          <w:iCs w:val="false"/>
          <w:color w:val="000000"/>
          <w:sz w:val="24"/>
          <w:szCs w:val="24"/>
          <w:rtl/>
        </w:rPr>
        <w:t xml:space="preserve">תאריך הגשה: ______________________</w:t>
      </w:r>
    </w:p>
    <w:p>
      <w:r>
        <w:br w:type="page"/>
      </w:r>
    </w:p>
    <w:p>
      <w:pPr>
        <w:bidi/>
        <w:spacing w:after="140"/>
        <w:jc w:val="right"/>
      </w:pPr>
      <w:r>
        <w:rPr>
          <w:rFonts w:ascii="David" w:cs="David" w:eastAsia="David" w:hAnsi="David"/>
          <w:b/>
          <w:bCs/>
          <w:i w:val="false"/>
          <w:iCs w:val="false"/>
          <w:color w:val="000000"/>
          <w:sz w:val="30"/>
          <w:szCs w:val="30"/>
          <w:rtl/>
        </w:rPr>
        <w:t xml:space="preserve">תוכן עניינים</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תקציר</w:t>
      </w:r>
    </w:p>
    <w:p>
      <w:pPr>
        <w:bidi/>
        <w:spacing w:after="120" w:before="0" w:line="360"/>
        <w:jc w:val="both"/>
      </w:pPr>
      <w:r>
        <w:rPr>
          <w:rFonts w:ascii="David" w:cs="David" w:eastAsia="David" w:hAnsi="David"/>
          <w:b w:val="false"/>
          <w:bCs w:val="false"/>
          <w:i w:val="false"/>
          <w:iCs w:val="false"/>
          <w:color w:val="000000"/>
          <w:sz w:val="24"/>
          <w:szCs w:val="24"/>
          <w:rtl/>
        </w:rPr>
        <w:t xml:space="preserve">במחקר זה ביקשנו לבדוק האם מקור החוללות שאליו נחשף אדם משפיע על תחושת החוללות העצמית הכללית שלו. הספרות מבחינה בין ארבעה מקורות לחוללות עצמית, ובהם חוויית שליטה, שהיא התנסות ישירה בהצלחה, וחוויה עקיפה, שהיא למידה מהתבוננות באחר שמצליח. בכדי לבחון זאת השתתפו במדגם 33 סטודנטים בהכשרה להוראה, אשר חולקו באקראי באמצעות תוכנת Qualtrics לשלוש קבוצות. קבוצת הניסוי התבקשה להיזכר בהצלחה אישית מהעבר, קבוצת ההשוואה קראה עדות של עמית שהתמודד והצליח, וקבוצת הביקורת ביצעה משימת כתיבה נייטרלית. לאחר מכן מילאו כלל המשתתפים שני שאלונים: שאלון החוללות העצמית הכללית (NGSE) ושאלון תחושת המסוגלות של המורה (TSES). השערת המחקר, לפיה חוויית שליטה תעלה את תחושת המסוגלות יותר מן החשיפה העקיפה, אוששה באופן חלקי בשני המדדים. בחוללות העצמית הכללית נמצא הבדל מובהק בין הקבוצות, F(2,30)=5.18, p=.012, η²=.26, כך שקבוצת חוויית השליטה (M=4.05, SD=0.57) דיווחה על חוללות גבוהה יותר מקבוצת הביקורת (M=3.30, SD=0.55). גם בתחושת המסוגלות של המורה נמצא הבדל מובהק, F(2,30)=3.69, p=.037, η²=.20, באותו כיוון. בשני המדדים קבוצת החשיפה העקיפה לא נבדלה מהביקורת באופן מובהק. נוסף על כך מוצגים ממצאים מהספרות, נדונות מגבלות המחקר ומוצעים מחקרי המשך.</w:t>
      </w:r>
    </w:p>
    <w:p>
      <w:pPr>
        <w:bidi/>
        <w:spacing w:after="160" w:before="0" w:line="360"/>
        <w:jc w:val="both"/>
      </w:pPr>
      <w:r>
        <w:rPr>
          <w:rFonts w:ascii="David" w:cs="David" w:eastAsia="David" w:hAnsi="David"/>
          <w:b/>
          <w:bCs/>
          <w:i w:val="false"/>
          <w:iCs w:val="false"/>
          <w:color w:val="000000"/>
          <w:sz w:val="24"/>
          <w:szCs w:val="24"/>
          <w:rtl/>
        </w:rPr>
        <w:t xml:space="preserve">מילות מפתח: </w:t>
      </w:r>
      <w:r>
        <w:rPr>
          <w:rFonts w:ascii="David" w:cs="David" w:eastAsia="David" w:hAnsi="David"/>
          <w:b w:val="false"/>
          <w:bCs w:val="false"/>
          <w:i w:val="false"/>
          <w:iCs w:val="false"/>
          <w:color w:val="000000"/>
          <w:sz w:val="24"/>
          <w:szCs w:val="24"/>
          <w:rtl/>
        </w:rPr>
        <w:t xml:space="preserve">חוללות עצמית, חוויית שליטה, חשיפה עקיפה, תיאוריית בנדורה.</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מבוא</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החוללות העצמית היא אחד המושגים המרכזיים בפסיכולוגיה של המוטיבציה. היא מתייחסת לאמונת האדם ביכולתו לארגן ולבצע את הפעולות הנדרשות כדי להשיג תוצאה רצויה, ולא להערכה של הכישורים עצמם. אמונה זו משפיעה על המטרות שאדם מציב לעצמו, על המאמץ שהוא משקיע ועל ההתמדה שלו נוכח קשיים, ואנשים בעלי חוללות גבוהה נוטים לפרש מכשולים כאתגר ולא כאיום (Bandura, 1977).</w:t>
      </w:r>
    </w:p>
    <w:p>
      <w:pPr>
        <w:bidi/>
        <w:spacing w:after="160" w:before="0" w:line="360"/>
        <w:jc w:val="both"/>
      </w:pPr>
      <w:r>
        <w:rPr>
          <w:rFonts w:ascii="David" w:cs="David" w:eastAsia="David" w:hAnsi="David"/>
          <w:b w:val="false"/>
          <w:bCs w:val="false"/>
          <w:i w:val="false"/>
          <w:iCs w:val="false"/>
          <w:color w:val="000000"/>
          <w:sz w:val="24"/>
          <w:szCs w:val="24"/>
          <w:rtl/>
        </w:rPr>
        <w:t xml:space="preserve">על-פי המודל, תחושת החוללות נבנית מארבעה מקורות. הראשון הוא חוויות שליטה, כלומר הצלחות ישירות בביצוע משימות. השני הוא חוויות עקיפות, למידה מתוך התבוננות באחרים דומים שמצליחים. השלישי הוא שכנוע מילולי מהסביבה, והרביעי הוא מצבים גופניים ורגשיים והפרשנות שניתנת להם. מבין הארבעה, חוויות השליטה נחשבות למקור החזק ביותר, מפני שהן מספקות את העדות הישירה והמשכנעת ביותר ליכולת (Bandura, 1997).</w:t>
      </w:r>
    </w:p>
    <w:p>
      <w:pPr>
        <w:bidi/>
        <w:spacing w:after="160" w:before="0" w:line="360"/>
        <w:jc w:val="both"/>
      </w:pPr>
      <w:r>
        <w:rPr>
          <w:rFonts w:ascii="David" w:cs="David" w:eastAsia="David" w:hAnsi="David"/>
          <w:b w:val="false"/>
          <w:bCs w:val="false"/>
          <w:i w:val="false"/>
          <w:iCs w:val="false"/>
          <w:color w:val="000000"/>
          <w:sz w:val="24"/>
          <w:szCs w:val="24"/>
          <w:rtl/>
        </w:rPr>
        <w:t xml:space="preserve">בעוד שהמודל המקורי עסק בעיקר בחוללות ספציפית למשימה, התפתח בהמשך המושג של חוללות עצמית כללית, אמונה יציבה יחסית ביכולת להתמודד עם מגוון רחב של מצבים ואתגרים. לצורך מדידתה פותח שאלון החוללות העצמית הכללית (NGSE), כלי בן שמונה פריטים שהראה עקיבות פנימית גבוהה ותכונות פסיכומטריות טובות, ונמצא עדיף על כלים קודמים (Chen, Gully, &amp; Eden, 2001).</w:t>
      </w:r>
    </w:p>
    <w:p>
      <w:pPr>
        <w:bidi/>
        <w:spacing w:after="160" w:before="0" w:line="360"/>
        <w:jc w:val="both"/>
      </w:pPr>
      <w:r>
        <w:rPr>
          <w:rFonts w:ascii="David" w:cs="David" w:eastAsia="David" w:hAnsi="David"/>
          <w:b w:val="false"/>
          <w:bCs w:val="false"/>
          <w:i w:val="false"/>
          <w:iCs w:val="false"/>
          <w:color w:val="000000"/>
          <w:sz w:val="24"/>
          <w:szCs w:val="24"/>
          <w:rtl/>
        </w:rPr>
        <w:t xml:space="preserve">מחקרים חוצי-תרבות תמכו בתוקף של המושג והראו כי חוללות עצמית כללית קשורה באופן עקבי לרווחה נפשית, לאופטימיות ולהתמודדות אדפטיבית עם דחק, במגוון מדינות ושפות (Luszczynska, Scholz, &amp; Schwarzer, 2005).</w:t>
      </w:r>
    </w:p>
    <w:p>
      <w:pPr>
        <w:bidi/>
        <w:spacing w:after="160" w:before="0" w:line="360"/>
        <w:jc w:val="both"/>
      </w:pPr>
      <w:r>
        <w:rPr>
          <w:rFonts w:ascii="David" w:cs="David" w:eastAsia="David" w:hAnsi="David"/>
          <w:b w:val="false"/>
          <w:bCs w:val="false"/>
          <w:i w:val="false"/>
          <w:iCs w:val="false"/>
          <w:color w:val="000000"/>
          <w:sz w:val="24"/>
          <w:szCs w:val="24"/>
          <w:rtl/>
        </w:rPr>
        <w:t xml:space="preserve">לצד המדד הכללי פותחו גם מדדים ספציפיים לתחומים מסוימים. בתחום ההוראה, הכלי הנפוץ ביותר הוא שאלון תחושת המסוגלות של המורה (TSES), הבוחן את אמונת המורה ביכולתו להשפיע בשלושה תחומים: מעורבות תלמידים, אסטרטגיות הוראה וניהול כיתה. הכלי מעוגן בתיאוריה של בנדורה ומשמש הן עם מורים בפועל והן עם סטודנטים בהכשרה להוראה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לחוללות העצמית תפקיד מרכזי במוטיבציה ובלמידה. סקירה מקיפה שתורגמה לעברית מתארת כיצד תחושת המסוגלות משפיעה על עירור ההתנהגות, על בחירת המשימות, על המאמץ ועל ההתמדה, וכיצד היא עצמה מתעצבת מהצבת מטרות, מעיבוד מידע וממשוב, ומסכמת עדויות לכך שהיא מנבאת תוצאות מוטיבציוניות ולימודיות (שאנק, 2001).</w:t>
      </w:r>
    </w:p>
    <w:p>
      <w:pPr>
        <w:bidi/>
        <w:spacing w:after="160" w:before="0" w:line="360"/>
        <w:jc w:val="both"/>
      </w:pPr>
      <w:r>
        <w:rPr>
          <w:rFonts w:ascii="David" w:cs="David" w:eastAsia="David" w:hAnsi="David"/>
          <w:b w:val="false"/>
          <w:bCs w:val="false"/>
          <w:i w:val="false"/>
          <w:iCs w:val="false"/>
          <w:color w:val="000000"/>
          <w:sz w:val="24"/>
          <w:szCs w:val="24"/>
          <w:rtl/>
        </w:rPr>
        <w:t xml:space="preserve">עדות עדכנית לקשר הזה עולה ממחקר רחב היקף שנערך על יותר מ-2,300 תלמידים. נמצא בו שתחושת החוללות העצמית היא המנבא החזק ביותר של הישגים לימודיים, חזק אף מהמוטיבציה עצמה, ושהיא מתווכת את הקשר בין תמיכה בצרכים הפסיכולוגיים לבין ההישגים (Basileo et al., 2024).</w:t>
      </w:r>
    </w:p>
    <w:p>
      <w:pPr>
        <w:bidi/>
        <w:spacing w:after="160" w:before="0" w:line="360"/>
        <w:jc w:val="both"/>
      </w:pPr>
      <w:r>
        <w:rPr>
          <w:rFonts w:ascii="David" w:cs="David" w:eastAsia="David" w:hAnsi="David"/>
          <w:b w:val="false"/>
          <w:bCs w:val="false"/>
          <w:i w:val="false"/>
          <w:iCs w:val="false"/>
          <w:color w:val="000000"/>
          <w:sz w:val="24"/>
          <w:szCs w:val="24"/>
          <w:rtl/>
        </w:rPr>
        <w:t xml:space="preserve">בהקשר של למידה מקוונת, שהתרחבה מאוד בשנים האחרונות, נבחן הכוח המנבא של החוללות. נמצא שחוללות עצמית וחוסן מנבאים יחד את המוטיבציה הלימודית של סטודנטים, כך שככל שתחושת המסוגלות גבוהה יותר, כך המוטיבציה גבוהה יותר (Abdolrezapour, Jahanbakhsh Ganjeh, &amp; Ghanbari, 2023).</w:t>
      </w:r>
    </w:p>
    <w:p>
      <w:pPr>
        <w:bidi/>
        <w:spacing w:after="160" w:before="0" w:line="360"/>
        <w:jc w:val="both"/>
      </w:pPr>
      <w:r>
        <w:rPr>
          <w:rFonts w:ascii="David" w:cs="David" w:eastAsia="David" w:hAnsi="David"/>
          <w:b w:val="false"/>
          <w:bCs w:val="false"/>
          <w:i w:val="false"/>
          <w:iCs w:val="false"/>
          <w:color w:val="000000"/>
          <w:sz w:val="24"/>
          <w:szCs w:val="24"/>
          <w:rtl/>
        </w:rPr>
        <w:t xml:space="preserve">גם בישראל נחקרה תחושת המסוגלות בהקשרים חינוכיים. עבודה שעסקה במסוגלות של מורים דנה במשמעות המושג, בדרכים למדוד אותו, ובתפקיד שיכול למלא היועץ החינוכי בחיזוק תחושת המסוגלות של המורה (לב וריץ', 1999).</w:t>
      </w:r>
    </w:p>
    <w:p>
      <w:pPr>
        <w:bidi/>
        <w:spacing w:after="160" w:before="0" w:line="360"/>
        <w:jc w:val="both"/>
      </w:pPr>
      <w:r>
        <w:rPr>
          <w:rFonts w:ascii="David" w:cs="David" w:eastAsia="David" w:hAnsi="David"/>
          <w:b w:val="false"/>
          <w:bCs w:val="false"/>
          <w:i w:val="false"/>
          <w:iCs w:val="false"/>
          <w:color w:val="000000"/>
          <w:sz w:val="24"/>
          <w:szCs w:val="24"/>
          <w:rtl/>
        </w:rPr>
        <w:t xml:space="preserve">מחקר מאוחר יותר הרחיב את היריעה לבעלי תפקידים נוספים במערכת החינוך, ובחן את תחושת המסוגלות העצמית של סייעות פדגוגיות העובדות עם תלמידים בעלי צרכים מיוחדים, תוך עמידה על המשאבים והאתגרים המעצבים אותה (גרינבנק ואגם בן-ארצי, 2018).</w:t>
      </w:r>
    </w:p>
    <w:p>
      <w:pPr>
        <w:bidi/>
        <w:spacing w:after="160" w:before="0" w:line="360"/>
        <w:jc w:val="both"/>
      </w:pPr>
      <w:r>
        <w:rPr>
          <w:rFonts w:ascii="David" w:cs="David" w:eastAsia="David" w:hAnsi="David"/>
          <w:b w:val="false"/>
          <w:bCs w:val="false"/>
          <w:i w:val="false"/>
          <w:iCs w:val="false"/>
          <w:color w:val="000000"/>
          <w:sz w:val="24"/>
          <w:szCs w:val="24"/>
          <w:rtl/>
        </w:rPr>
        <w:t xml:space="preserve">בזירת ההכלה נבדק הקשר בין תחושת המסוגלות העצמית של מורים לבין עמדות והתנהגויות כלפי תלמידים עם הפרעת למידה ספציפית, ונמצא שתחושת מסוגלות גבוהה נקשרת ליכולת הכלה ולאמפתיה רבה יותר כלפי תלמידים אלה (זבידאת, דלאשה ובשיר, 2019).</w:t>
      </w:r>
    </w:p>
    <w:p>
      <w:pPr>
        <w:bidi/>
        <w:spacing w:after="160" w:before="0" w:line="360"/>
        <w:jc w:val="both"/>
      </w:pPr>
      <w:r>
        <w:rPr>
          <w:rFonts w:ascii="David" w:cs="David" w:eastAsia="David" w:hAnsi="David"/>
          <w:b w:val="false"/>
          <w:bCs w:val="false"/>
          <w:i w:val="false"/>
          <w:iCs w:val="false"/>
          <w:color w:val="000000"/>
          <w:sz w:val="24"/>
          <w:szCs w:val="24"/>
          <w:rtl/>
        </w:rPr>
        <w:t xml:space="preserve">בחברה הערבית בישראל נבחנה תחושת המסוגלות של מטפלות-מחנכות בגיל הרך ביחס לשחיקה, לנדידת מחשבות ולתפיסת הקשר עם ההורים, ונמצא שקשר חיובי עם ההורים נקשר לתחושת מסוגלות עצמית גבוהה יותר, ממצא המדגיש את חשיבות הסביבה היחסית בעיצוב המסוגלות (אבו-אסעד ואביטן, 2020).</w:t>
      </w:r>
    </w:p>
    <w:p>
      <w:pPr>
        <w:bidi/>
        <w:spacing w:after="160" w:before="0" w:line="360"/>
        <w:jc w:val="both"/>
      </w:pPr>
      <w:r>
        <w:rPr>
          <w:rFonts w:ascii="David" w:cs="David" w:eastAsia="David" w:hAnsi="David"/>
          <w:b w:val="false"/>
          <w:bCs w:val="false"/>
          <w:i w:val="false"/>
          <w:iCs w:val="false"/>
          <w:color w:val="000000"/>
          <w:sz w:val="24"/>
          <w:szCs w:val="24"/>
          <w:rtl/>
        </w:rPr>
        <w:t xml:space="preserve">ההקשר החינוכי ממחיש היטב את חשיבות הנושא. תחושת המסוגלות של מורים ושל סטודנטים בהכשרה להוראה נמצאה קשורה למחויבות למקצוע, להכלה, לאמפתיה כלפי תלמידים ולהתמודדות עם שחיקה, ותחושת מסוגלות כללית גבוהה מהווה בסיס לתחושת המסוגלות המקצועית שתתפתח בהמשך. עם זאת, רוב המחקרים בתחום הם מתאמיים, ומעטים בחנו בתנאי ניסוי האם ניתן להעלות את תחושת המסוגלות של סטודנטים להוראה, ואיזה מקור עושה זאת ביעילות רבה יותר.</w:t>
      </w:r>
    </w:p>
    <w:p>
      <w:pPr>
        <w:bidi/>
        <w:spacing w:after="160" w:before="0" w:line="360"/>
        <w:jc w:val="both"/>
      </w:pPr>
      <w:r>
        <w:rPr>
          <w:rFonts w:ascii="David" w:cs="David" w:eastAsia="David" w:hAnsi="David"/>
          <w:b w:val="false"/>
          <w:bCs w:val="false"/>
          <w:i w:val="false"/>
          <w:iCs w:val="false"/>
          <w:color w:val="000000"/>
          <w:sz w:val="24"/>
          <w:szCs w:val="24"/>
          <w:rtl/>
        </w:rPr>
        <w:t xml:space="preserve">לפיכך, המחקר הנוכחי מבקש לבחון בתנאי מעבדה מבוקרים האם אינדוקציה קצרה מספיקה כדי להעלות את תחושת המסוגלות בקרב סטודנטים בהכשרה להוראה, ואיזה מבין שני מקורות החוללות, חוויית שליטה או חשיפה עקיפה, אפקטיבי יותר, בהשוואה לתנאי ביקורת נייטרלי. תחושת המסוגלות נמדדה בשני מדדים: חוללות עצמית כללית (NGSE) ותחושת המסוגלות של המורה (TSES).</w:t>
      </w:r>
    </w:p>
    <w:p>
      <w:pPr>
        <w:bidi/>
        <w:spacing w:after="160" w:before="0" w:line="360"/>
        <w:jc w:val="both"/>
      </w:pPr>
      <w:r>
        <w:rPr>
          <w:rFonts w:ascii="David" w:cs="David" w:eastAsia="David" w:hAnsi="David"/>
          <w:b w:val="false"/>
          <w:bCs w:val="false"/>
          <w:i w:val="false"/>
          <w:iCs w:val="false"/>
          <w:color w:val="000000"/>
          <w:sz w:val="24"/>
          <w:szCs w:val="24"/>
          <w:rtl/>
        </w:rPr>
        <w:t xml:space="preserve">בהתאם לטענת בנדורה שחוויות שליטה הן המקור החזק ביותר, השערת המחקר הייתה שבשני המדדים קבוצת חוויית השליטה תדווח על המסוגלות הגבוהה ביותר, שקבוצת החשיפה העקיפה תדווח על מסוגלות גבוהה מן הביקורת אך נמוכה מחוויית השליטה, ושקבוצת הביקורת תדווח על המסוגלות הנמוכה ביותר.</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שיטה</w:t>
      </w:r>
    </w:p>
    <w:p>
      <w:pPr>
        <w:pStyle w:val="Heading2"/>
        <w:bidi/>
        <w:spacing w:after="100" w:before="180"/>
        <w:jc w:val="right"/>
      </w:pPr>
      <w:r>
        <w:rPr>
          <w:rFonts w:ascii="David" w:cs="David" w:eastAsia="David" w:hAnsi="David"/>
          <w:b/>
          <w:bCs/>
          <w:i w:val="false"/>
          <w:iCs w:val="false"/>
          <w:color w:val="000000"/>
          <w:sz w:val="26"/>
          <w:szCs w:val="26"/>
          <w:rtl/>
        </w:rPr>
        <w:t xml:space="preserve">משתתפים</w:t>
      </w:r>
    </w:p>
    <w:p>
      <w:pPr>
        <w:bidi/>
        <w:spacing w:after="160" w:before="0" w:line="360"/>
        <w:jc w:val="both"/>
      </w:pPr>
      <w:r>
        <w:rPr>
          <w:rFonts w:ascii="David" w:cs="David" w:eastAsia="David" w:hAnsi="David"/>
          <w:b w:val="false"/>
          <w:bCs w:val="false"/>
          <w:i w:val="false"/>
          <w:iCs w:val="false"/>
          <w:color w:val="000000"/>
          <w:sz w:val="24"/>
          <w:szCs w:val="24"/>
          <w:rtl/>
        </w:rPr>
        <w:t xml:space="preserve">במחקר השתתפו 33 סטודנטים בהכשרה להוראה שהתנדבו למחקר, ובהם 21 נשים ו-12 גברים. גיל המשתתפים נע בין 18 ל-31 (M=24.3, SD=2.8). מבחינת השכלה, 60.6% מהמשתתפים בעלי השכלה אקדמית, 27.3% בעלי השכלה תיכונית ו-12.1% בעלי לימודי תעודה. מבחינת אזור מגורים, 42.4% מתגוררים במרכז, 30.3% בדרום, 18.2% בצפון ו-9.1% ביהודה ושומרון. המשתתפים הוקצו מקרית לתנאי המחקר באמצעות תוכנת Qualtrics, כך שבכל אחת משלוש הקבוצות נכללו 11 משתתפים.</w:t>
      </w:r>
    </w:p>
    <w:p>
      <w:pPr>
        <w:pStyle w:val="Heading2"/>
        <w:bidi/>
        <w:spacing w:after="100" w:before="180"/>
        <w:jc w:val="right"/>
      </w:pPr>
      <w:r>
        <w:rPr>
          <w:rFonts w:ascii="David" w:cs="David" w:eastAsia="David" w:hAnsi="David"/>
          <w:b/>
          <w:bCs/>
          <w:i w:val="false"/>
          <w:iCs w:val="false"/>
          <w:color w:val="000000"/>
          <w:sz w:val="26"/>
          <w:szCs w:val="26"/>
          <w:rtl/>
        </w:rPr>
        <w:t xml:space="preserve">כלים</w:t>
      </w:r>
    </w:p>
    <w:p>
      <w:pPr>
        <w:bidi/>
        <w:spacing w:after="160" w:before="0" w:line="360"/>
        <w:jc w:val="both"/>
      </w:pPr>
      <w:r>
        <w:rPr>
          <w:rFonts w:ascii="David" w:cs="David" w:eastAsia="David" w:hAnsi="David"/>
          <w:b/>
          <w:bCs/>
          <w:i w:val="false"/>
          <w:iCs w:val="false"/>
          <w:color w:val="000000"/>
          <w:sz w:val="24"/>
          <w:szCs w:val="24"/>
          <w:rtl/>
        </w:rPr>
        <w:t xml:space="preserve">שאלון דמוגרפי. </w:t>
      </w:r>
      <w:r>
        <w:rPr>
          <w:rFonts w:ascii="David" w:cs="David" w:eastAsia="David" w:hAnsi="David"/>
          <w:b w:val="false"/>
          <w:bCs w:val="false"/>
          <w:i w:val="false"/>
          <w:iCs w:val="false"/>
          <w:color w:val="000000"/>
          <w:sz w:val="24"/>
          <w:szCs w:val="24"/>
          <w:rtl/>
        </w:rPr>
        <w:t xml:space="preserve">השאלון הדמוגרפי כלל ארבע שאלות שעסקו במגדר, בגיל, בהשכלה ובמקום המגורים (ראו נספח 1).</w:t>
      </w:r>
    </w:p>
    <w:p>
      <w:pPr>
        <w:bidi/>
        <w:spacing w:after="160" w:before="0" w:line="360"/>
        <w:jc w:val="both"/>
      </w:pPr>
      <w:r>
        <w:rPr>
          <w:rFonts w:ascii="David" w:cs="David" w:eastAsia="David" w:hAnsi="David"/>
          <w:b/>
          <w:bCs/>
          <w:i w:val="false"/>
          <w:iCs w:val="false"/>
          <w:color w:val="000000"/>
          <w:sz w:val="24"/>
          <w:szCs w:val="24"/>
          <w:rtl/>
        </w:rPr>
        <w:t xml:space="preserve">מניפולציית מקור החוללות. </w:t>
      </w:r>
      <w:r>
        <w:rPr>
          <w:rFonts w:ascii="David" w:cs="David" w:eastAsia="David" w:hAnsi="David"/>
          <w:b w:val="false"/>
          <w:bCs w:val="false"/>
          <w:i w:val="false"/>
          <w:iCs w:val="false"/>
          <w:color w:val="000000"/>
          <w:sz w:val="24"/>
          <w:szCs w:val="24"/>
          <w:rtl/>
        </w:rPr>
        <w:t xml:space="preserve">המניפולציה כללה שלושה תנאים. בתנאי הניסוי (חוויית שליטה) התבקשו המשתתפים להיזכר ולתאר בכתב, במשך כארבע דקות, אירוע מן העבר שבו התמודדו עם משימה מאתגרת והצליחו בה בזכות מאמץ. בתנאי ההשוואה (חשיפה עקיפה) קראו המשתתפים עדות קצרה בגוף ראשון של סטודנט שהתמודד בהצלחה עם אתגר לימודי, והתבקשו להרהר בה. בתנאי הביקורת התבקשו המשתתפים לתאר בכתב את מסלול ההגעה היומי שלהם אל מקום הלימודים, משימה נייטרלית שאינה קשורה למסוגלות (ראו נספח 2).</w:t>
      </w:r>
    </w:p>
    <w:p>
      <w:pPr>
        <w:bidi/>
        <w:spacing w:after="160" w:before="0" w:line="360"/>
        <w:jc w:val="both"/>
      </w:pPr>
      <w:r>
        <w:rPr>
          <w:rFonts w:ascii="David" w:cs="David" w:eastAsia="David" w:hAnsi="David"/>
          <w:b/>
          <w:bCs/>
          <w:i w:val="false"/>
          <w:iCs w:val="false"/>
          <w:color w:val="000000"/>
          <w:sz w:val="24"/>
          <w:szCs w:val="24"/>
          <w:rtl/>
        </w:rPr>
        <w:t xml:space="preserve">שאלון חוללות עצמית כללית. </w:t>
      </w:r>
      <w:r>
        <w:rPr>
          <w:rFonts w:ascii="David" w:cs="David" w:eastAsia="David" w:hAnsi="David"/>
          <w:b w:val="false"/>
          <w:bCs w:val="false"/>
          <w:i w:val="false"/>
          <w:iCs w:val="false"/>
          <w:color w:val="000000"/>
          <w:sz w:val="24"/>
          <w:szCs w:val="24"/>
          <w:rtl/>
        </w:rPr>
        <w:t xml:space="preserve">במחקר נעשה שימוש בשאלון החוללות העצמית הכללית (Chen, Gully, &amp; Eden, 2001) הכולל שמונה היגדים, המדורגים בסולם ליקרט בן חמש דרגות מ-1 (מתנגד מאוד) עד 5 (מסכים מאוד). ציון החוללות חושב כממוצע שמונת ההיגדים. לדוגמה: "אני יכול להשיג את מרבית המטרות שהצבתי לעצמי". לשאלון נמצאה מהימנות גבוהה (אלפא של קרונבך = .87) (ראו נספח 3).</w:t>
      </w:r>
    </w:p>
    <w:p>
      <w:pPr>
        <w:bidi/>
        <w:spacing w:after="160" w:before="0" w:line="360"/>
        <w:jc w:val="both"/>
      </w:pPr>
      <w:r>
        <w:rPr>
          <w:rFonts w:ascii="David" w:cs="David" w:eastAsia="David" w:hAnsi="David"/>
          <w:b/>
          <w:bCs/>
          <w:i w:val="false"/>
          <w:iCs w:val="false"/>
          <w:color w:val="000000"/>
          <w:sz w:val="24"/>
          <w:szCs w:val="24"/>
          <w:rtl/>
        </w:rPr>
        <w:t xml:space="preserve">שאלון תחושת המסוגלות של המורה (TSES). </w:t>
      </w:r>
      <w:r>
        <w:rPr>
          <w:rFonts w:ascii="David" w:cs="David" w:eastAsia="David" w:hAnsi="David"/>
          <w:b w:val="false"/>
          <w:bCs w:val="false"/>
          <w:i w:val="false"/>
          <w:iCs w:val="false"/>
          <w:color w:val="000000"/>
          <w:sz w:val="24"/>
          <w:szCs w:val="24"/>
          <w:rtl/>
        </w:rPr>
        <w:t xml:space="preserve">למדידת תחושת המסוגלות בהקשר ההוראה נעשה שימוש בגרסה הקצרה של שאלון תחושת המסוגלות של המורה (Tschannen-Moran &amp; Woolfolk Hoy, 2001), הכוללת שנים-עשר היגדים בשלושה תת-סולמות: מעורבות תלמידים, אסטרטגיות הוראה וניהול כיתה. ההיגדים מדורגים בסולם בן תשע דרגות, מ-1 (כלל לא) עד 9 (במידה רבה מאוד). לדוגמה: "עד כמה תוכל/י לספק הסבר חלופי או דוגמה נוספת כאשר תלמידים מתקשים להבין?". ציון המסוגלות חושב כממוצע שנים-עשר ההיגדים, ולשאלון נמצאה מהימנות גבוהה (אלפא של קרונבך = .91) (ראו נספח 4).</w:t>
      </w:r>
    </w:p>
    <w:p>
      <w:pPr>
        <w:pStyle w:val="Heading2"/>
        <w:bidi/>
        <w:spacing w:after="100" w:before="180"/>
        <w:jc w:val="right"/>
      </w:pPr>
      <w:r>
        <w:rPr>
          <w:rFonts w:ascii="David" w:cs="David" w:eastAsia="David" w:hAnsi="David"/>
          <w:b/>
          <w:bCs/>
          <w:i w:val="false"/>
          <w:iCs w:val="false"/>
          <w:color w:val="000000"/>
          <w:sz w:val="26"/>
          <w:szCs w:val="26"/>
          <w:rtl/>
        </w:rPr>
        <w:t xml:space="preserve">הליך</w:t>
      </w:r>
    </w:p>
    <w:p>
      <w:pPr>
        <w:bidi/>
        <w:spacing w:after="160" w:before="0" w:line="360"/>
        <w:jc w:val="both"/>
      </w:pPr>
      <w:r>
        <w:rPr>
          <w:rFonts w:ascii="David" w:cs="David" w:eastAsia="David" w:hAnsi="David"/>
          <w:b w:val="false"/>
          <w:bCs w:val="false"/>
          <w:i w:val="false"/>
          <w:iCs w:val="false"/>
          <w:color w:val="000000"/>
          <w:sz w:val="24"/>
          <w:szCs w:val="24"/>
          <w:rtl/>
        </w:rPr>
        <w:t xml:space="preserve">המשתתפים ענו על השאלונים באופן דיגיטלי באמצעות תוכנת Qualtrics, אליה נכנסו דרך קישור שנשלח אליהם. עם הכניסה הוצגו בפניהם הוראות והסבר כללי, ומטרת המחקר המדויקת לא נחשפה, אלא הוצג נושאו הכללי בלבד. משתתפים שנתנו את הסכמתם מדעת מילאו תחילה שאלון דמוגרפי קצר, ולאחר מכן הוקצו מקרית לאחד משלושת התנאים וביצעו את משימת המניפולציה המתאימה. מיד לאחר מכן הועברו למילוי שני שאלוני המסוגלות, שאלון החוללות העצמית הכללית ושאלון תחושת המסוגלות של המורה. בסיום הוצגה הודעת תודה על ההשתתפות במחקר.</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תוצאות</w:t>
      </w:r>
    </w:p>
    <w:p>
      <w:pPr>
        <w:pStyle w:val="Heading2"/>
        <w:bidi/>
        <w:spacing w:after="100" w:before="180"/>
        <w:jc w:val="right"/>
      </w:pPr>
      <w:r>
        <w:rPr>
          <w:rFonts w:ascii="David" w:cs="David" w:eastAsia="David" w:hAnsi="David"/>
          <w:b/>
          <w:bCs/>
          <w:i w:val="false"/>
          <w:iCs w:val="false"/>
          <w:color w:val="000000"/>
          <w:sz w:val="26"/>
          <w:szCs w:val="26"/>
          <w:rtl/>
        </w:rPr>
        <w:t xml:space="preserve">ניתוחים מקדימים</w:t>
      </w:r>
    </w:p>
    <w:p>
      <w:pPr>
        <w:bidi/>
        <w:spacing w:after="160" w:before="0" w:line="360"/>
        <w:jc w:val="both"/>
      </w:pPr>
      <w:r>
        <w:rPr>
          <w:rFonts w:ascii="David" w:cs="David" w:eastAsia="David" w:hAnsi="David"/>
          <w:b w:val="false"/>
          <w:bCs w:val="false"/>
          <w:i w:val="false"/>
          <w:iCs w:val="false"/>
          <w:color w:val="000000"/>
          <w:sz w:val="24"/>
          <w:szCs w:val="24"/>
          <w:rtl/>
        </w:rPr>
        <w:t xml:space="preserve">תחילה נבדקו הנתונים לקראת הניתוח. משתתפים שלא השלימו את שני השאלונים לא נכללו במדגם הסופי, ולכן לא נותרו נתונים חסרים. התפלגות הציונים בשני המדדים נבחנה, וערכי הצידוד (skewness) והגבנוניות (kurtosis) נמצאו בטווח המקובל (בין 1- ל-1), כך שהונחה התפלגות נורמלית מספקת לשימוש במבחנים פרמטריים. מהימנות שני השאלונים, כפי שדווחה בפרק הכלים, הייתה גבוהה (NGSE: α=.87; TSES: α=.91). כל הניתוחים בוצעו בתוכנת SPSS, ורמת המובהקות נקבעה על α=.05.</w:t>
      </w:r>
    </w:p>
    <w:p>
      <w:pPr>
        <w:pStyle w:val="Heading2"/>
        <w:bidi/>
        <w:spacing w:after="100" w:before="180"/>
        <w:jc w:val="right"/>
      </w:pPr>
      <w:r>
        <w:rPr>
          <w:rFonts w:ascii="David" w:cs="David" w:eastAsia="David" w:hAnsi="David"/>
          <w:b/>
          <w:bCs/>
          <w:i w:val="false"/>
          <w:iCs w:val="false"/>
          <w:color w:val="000000"/>
          <w:sz w:val="26"/>
          <w:szCs w:val="26"/>
          <w:rtl/>
        </w:rPr>
        <w:t xml:space="preserve">חוללות עצמית כללית (NGSE)</w:t>
      </w:r>
    </w:p>
    <w:p>
      <w:pPr>
        <w:bidi/>
        <w:spacing w:after="160" w:before="0" w:line="360"/>
        <w:jc w:val="both"/>
      </w:pPr>
      <w:r>
        <w:rPr>
          <w:rFonts w:ascii="David" w:cs="David" w:eastAsia="David" w:hAnsi="David"/>
          <w:b w:val="false"/>
          <w:bCs w:val="false"/>
          <w:i w:val="false"/>
          <w:iCs w:val="false"/>
          <w:color w:val="000000"/>
          <w:sz w:val="24"/>
          <w:szCs w:val="24"/>
          <w:rtl/>
        </w:rPr>
        <w:t xml:space="preserve">ציון החוללות העצמית הכללית חושב כממוצע שמונת ההיגדים בשאלון עבור כל נבדק. משתתפי קבוצת חוויית השליטה קודדו כ-1, משתתפי קבוצת החשיפה העקיפה כ-2, ומשתתפי קבוצת הביקורת כ-3. ממוצעים וסטיות תקן של רמת החוללות בכל קבוצה מוצגים בטבלה 1.</w:t>
      </w:r>
    </w:p>
    <w:p>
      <w:pPr>
        <w:bidi/>
        <w:spacing w:after="80" w:before="80"/>
        <w:jc w:val="center"/>
      </w:pPr>
      <w:r>
        <w:rPr>
          <w:rFonts w:ascii="David" w:cs="David" w:eastAsia="David" w:hAnsi="David"/>
          <w:b/>
          <w:bCs/>
          <w:i w:val="false"/>
          <w:iCs w:val="false"/>
          <w:color w:val="000000"/>
          <w:sz w:val="24"/>
          <w:szCs w:val="24"/>
          <w:rtl/>
        </w:rPr>
        <w:t xml:space="preserve">טבלה 1</w:t>
      </w:r>
      <w:r>
        <w:rPr>
          <w:rFonts w:ascii="David" w:cs="David" w:eastAsia="David" w:hAnsi="David"/>
          <w:b w:val="false"/>
          <w:bCs w:val="false"/>
          <w:i w:val="false"/>
          <w:iCs w:val="false"/>
          <w:color w:val="000000"/>
          <w:sz w:val="24"/>
          <w:szCs w:val="24"/>
          <w:rtl/>
        </w:rPr>
        <w:t xml:space="preserve">: ממוצעים וסטיות תקן של רמת החוללות העצמית הכללית בקבוצות המחקר</w:t>
      </w:r>
    </w:p>
    <w:tbl>
      <w:tblPr>
        <w:bidiVisual/>
        <w:tblW w:type="dxa" w:w="9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1500"/>
        <w:gridCol w:w="2100"/>
        <w:gridCol w:w="2100"/>
      </w:tblGrid>
      <w:tr>
        <w:trPr>
          <w:tblHeader/>
        </w:trPr>
        <w:tc>
          <w:tcPr>
            <w:tcW w:type="dxa" w:w="34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קבוצה</w:t>
            </w:r>
          </w:p>
        </w:tc>
        <w:tc>
          <w:tcPr>
            <w:tcW w:type="dxa" w:w="15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N</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ממוצע</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ס"ת</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חוויית שליטה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4.05</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0.57</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חשיפה עקיפה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3.70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0.52</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ביקורת</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3.30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0.55</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בטרם ניתוח השונות נבדקה הנחת שוויון השונויות באמצעות מבחן Levene, שלא נמצא מובהק, F(2,30)=0.34, p=.71, ולכן ההנחה לא הופרה. לבחינת השערת המחקר בוצע ניתוח שונות חד-גורמי בין נבדקים (One-Way ANOVA), שהעלה הבדל מובהק בין שלוש הקבוצות ברמת החוללות העצמית, F(2,30)=5.18, p=.012. גודל האפקט, אטא בריבוע, היה η²=.26, המצביע על אפקט גדול על-פי אמות המידה של כהן, שלפיהן ערך של η²=.14 נחשב גדול.</w:t>
      </w:r>
    </w:p>
    <w:p>
      <w:pPr>
        <w:bidi/>
        <w:spacing w:after="160" w:before="0" w:line="360"/>
        <w:jc w:val="both"/>
      </w:pPr>
      <w:r>
        <w:rPr>
          <w:rFonts w:ascii="David" w:cs="David" w:eastAsia="David" w:hAnsi="David"/>
          <w:b w:val="false"/>
          <w:bCs w:val="false"/>
          <w:i w:val="false"/>
          <w:iCs w:val="false"/>
          <w:color w:val="000000"/>
          <w:sz w:val="24"/>
          <w:szCs w:val="24"/>
          <w:rtl/>
        </w:rPr>
        <w:t xml:space="preserve">לבחינת מקור ההבדלים בוצעו השוואות מרובות בשיטת Tukey HSD. נמצא כי קבוצת חוויית השליטה (M=4.05, SD=0.57) דיווחה על חוללות גבוהה יותר מקבוצת הביקורת (M=3.30, SD=0.55), בהפרש ממוצעים של 0.75, הפרש שהיה מובהק (p=.008, 95% CI [0.17, 1.33]). לעומת זאת, ההפרש בין קבוצת החשיפה העקיפה (M=3.70, SD=0.52) לבין קבוצת הביקורת, שעמד על 0.40, לא הגיע למובהקות (p=.21, 95% CI [-0.18, 0.98]), וכך גם ההפרש בין חוויית השליטה לחשיפה העקיפה, שעמד על 0.35 (p=.30, 95% CI [-0.23, 0.93]). ממצאים אלו מוצגים באיור 1.</w:t>
      </w:r>
    </w:p>
    <w:p>
      <w:pPr>
        <w:bidi/>
        <w:spacing w:after="60" w:before="120"/>
        <w:jc w:val="center"/>
      </w:pPr>
      <w:r>
        <w:drawing>
          <wp:inline distT="0" distB="0" distL="0" distR="0">
            <wp:extent cx="390525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905250" cy="2895600"/>
                    </a:xfrm>
                    <a:prstGeom prst="rect">
                      <a:avLst/>
                    </a:prstGeom>
                  </pic:spPr>
                </pic:pic>
              </a:graphicData>
            </a:graphic>
          </wp:inline>
        </w:drawing>
      </w:r>
    </w:p>
    <w:p>
      <w:pPr>
        <w:bidi/>
        <w:spacing w:after="160"/>
        <w:jc w:val="center"/>
      </w:pPr>
      <w:r>
        <w:rPr>
          <w:rFonts w:ascii="David" w:cs="David" w:eastAsia="David" w:hAnsi="David"/>
          <w:b/>
          <w:bCs/>
          <w:i w:val="false"/>
          <w:iCs w:val="false"/>
          <w:color w:val="000000"/>
          <w:sz w:val="24"/>
          <w:szCs w:val="24"/>
          <w:rtl/>
        </w:rPr>
        <w:t xml:space="preserve">איור 1</w:t>
      </w:r>
      <w:r>
        <w:rPr>
          <w:rFonts w:ascii="David" w:cs="David" w:eastAsia="David" w:hAnsi="David"/>
          <w:b w:val="false"/>
          <w:bCs w:val="false"/>
          <w:i w:val="false"/>
          <w:iCs w:val="false"/>
          <w:color w:val="000000"/>
          <w:sz w:val="24"/>
          <w:szCs w:val="24"/>
          <w:rtl/>
        </w:rPr>
        <w:t xml:space="preserve">: ממוצעי החוללות העצמית הכללית לפי קבוצה. קווי השגיאה מייצגים רווח סמך של 95%.</w:t>
      </w:r>
    </w:p>
    <w:p>
      <w:pPr>
        <w:pStyle w:val="Heading2"/>
        <w:bidi/>
        <w:spacing w:after="100" w:before="180"/>
        <w:jc w:val="right"/>
      </w:pPr>
      <w:r>
        <w:rPr>
          <w:rFonts w:ascii="David" w:cs="David" w:eastAsia="David" w:hAnsi="David"/>
          <w:b/>
          <w:bCs/>
          <w:i w:val="false"/>
          <w:iCs w:val="false"/>
          <w:color w:val="000000"/>
          <w:sz w:val="26"/>
          <w:szCs w:val="26"/>
          <w:rtl/>
        </w:rPr>
        <w:t xml:space="preserve">תחושת המסוגלות של המורה (TSES)</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המסוגלות של המורה חושבה כממוצע שנים-עשר ההיגדים בשאלון. ממוצעים וסטיות תקן בכל קבוצה מוצגים בטבלה 2, ומהם עולה כי הממוצע עלה בהדרגה מקבוצת הביקורת, דרך החשיפה העקיפה, ועד חוויית השליטה.</w:t>
      </w:r>
    </w:p>
    <w:p>
      <w:pPr>
        <w:bidi/>
        <w:spacing w:after="80" w:before="80"/>
        <w:jc w:val="center"/>
      </w:pPr>
      <w:r>
        <w:rPr>
          <w:rFonts w:ascii="David" w:cs="David" w:eastAsia="David" w:hAnsi="David"/>
          <w:b/>
          <w:bCs/>
          <w:i w:val="false"/>
          <w:iCs w:val="false"/>
          <w:color w:val="000000"/>
          <w:sz w:val="24"/>
          <w:szCs w:val="24"/>
          <w:rtl/>
        </w:rPr>
        <w:t xml:space="preserve">טבלה 2</w:t>
      </w:r>
      <w:r>
        <w:rPr>
          <w:rFonts w:ascii="David" w:cs="David" w:eastAsia="David" w:hAnsi="David"/>
          <w:b w:val="false"/>
          <w:bCs w:val="false"/>
          <w:i w:val="false"/>
          <w:iCs w:val="false"/>
          <w:color w:val="000000"/>
          <w:sz w:val="24"/>
          <w:szCs w:val="24"/>
          <w:rtl/>
        </w:rPr>
        <w:t xml:space="preserve">: ממוצעים וסטיות תקן של תחושת המסוגלות של המורה בקבוצות המחקר</w:t>
      </w:r>
    </w:p>
    <w:tbl>
      <w:tblPr>
        <w:bidiVisual/>
        <w:tblW w:type="dxa" w:w="9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1500"/>
        <w:gridCol w:w="2100"/>
        <w:gridCol w:w="2100"/>
      </w:tblGrid>
      <w:tr>
        <w:trPr>
          <w:tblHeader/>
        </w:trPr>
        <w:tc>
          <w:tcPr>
            <w:tcW w:type="dxa" w:w="34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קבוצה</w:t>
            </w:r>
          </w:p>
        </w:tc>
        <w:tc>
          <w:tcPr>
            <w:tcW w:type="dxa" w:w="15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N</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ממוצע</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ס"ת</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חוויית שליטה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6.98</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0.76</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חשיפה עקיפה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6.55</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0.74</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ביקורת</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6.10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0.78</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גם עבור מדד זה לא הופרה הנחת שוויון השונויות (Levene: F(2,30)=0.47, p=.63). ניתוח שונות חד-גורמי בין נבדקים העלה הבדל מובהק בין הקבוצות בתחושת המסוגלות של המורה, F(2,30)=3.69, p=.037, η²=.20, גודל אפקט בינוני עד גדול.</w:t>
      </w:r>
    </w:p>
    <w:p>
      <w:pPr>
        <w:bidi/>
        <w:spacing w:after="160" w:before="0" w:line="360"/>
        <w:jc w:val="both"/>
      </w:pPr>
      <w:r>
        <w:rPr>
          <w:rFonts w:ascii="David" w:cs="David" w:eastAsia="David" w:hAnsi="David"/>
          <w:b w:val="false"/>
          <w:bCs w:val="false"/>
          <w:i w:val="false"/>
          <w:iCs w:val="false"/>
          <w:color w:val="000000"/>
          <w:sz w:val="24"/>
          <w:szCs w:val="24"/>
          <w:rtl/>
        </w:rPr>
        <w:t xml:space="preserve">השוואות Tukey HSD הראו שקבוצת חוויית השליטה (M=6.98, SD=0.76) דיווחה על תחושת מסוגלות גבוהה יותר מקבוצת הביקורת (M=6.10, SD=0.78), בהפרש של 0.88 שהיה מובהק (p=.034, 95% CI [0.08, 1.68]). ההפרש בין קבוצת החשיפה העקיפה (M=6.55, SD=0.74) לבין הביקורת, שעמד על 0.45, לא היה מובהק (p=.32), וגם ההפרש בין חוויית השליטה לחשיפה העקיפה, שעמד על 0.43, לא הגיע למובהקות (p=.35). דפוס דומה, של עלייה מן הביקורת אל חוויית השליטה, נמצא בכל שלושת תת-הסולמות של השאלון (מעורבות תלמידים, אסטרטגיות הוראה וניהול כיתה), והבולט שבהם היה בתת-הסולם של אסטרטגיות ההוראה. ממצאי מדד זה מוצגים באיור 2.</w:t>
      </w:r>
    </w:p>
    <w:p>
      <w:pPr>
        <w:bidi/>
        <w:spacing w:after="60" w:before="120"/>
        <w:jc w:val="center"/>
      </w:pPr>
      <w:r>
        <w:drawing>
          <wp:inline distT="0" distB="0" distL="0" distR="0">
            <wp:extent cx="390525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05250" cy="2895600"/>
                    </a:xfrm>
                    <a:prstGeom prst="rect">
                      <a:avLst/>
                    </a:prstGeom>
                  </pic:spPr>
                </pic:pic>
              </a:graphicData>
            </a:graphic>
          </wp:inline>
        </w:drawing>
      </w:r>
    </w:p>
    <w:p>
      <w:pPr>
        <w:bidi/>
        <w:spacing w:after="160"/>
        <w:jc w:val="center"/>
      </w:pPr>
      <w:r>
        <w:rPr>
          <w:rFonts w:ascii="David" w:cs="David" w:eastAsia="David" w:hAnsi="David"/>
          <w:b/>
          <w:bCs/>
          <w:i w:val="false"/>
          <w:iCs w:val="false"/>
          <w:color w:val="000000"/>
          <w:sz w:val="24"/>
          <w:szCs w:val="24"/>
          <w:rtl/>
        </w:rPr>
        <w:t xml:space="preserve">איור 2</w:t>
      </w:r>
      <w:r>
        <w:rPr>
          <w:rFonts w:ascii="David" w:cs="David" w:eastAsia="David" w:hAnsi="David"/>
          <w:b w:val="false"/>
          <w:bCs w:val="false"/>
          <w:i w:val="false"/>
          <w:iCs w:val="false"/>
          <w:color w:val="000000"/>
          <w:sz w:val="24"/>
          <w:szCs w:val="24"/>
          <w:rtl/>
        </w:rPr>
        <w:t xml:space="preserve">: ממוצעי תחושת המסוגלות של המורה לפי קבוצה. קווי השגיאה מייצגים רווח סמך של 95%.</w:t>
      </w:r>
    </w:p>
    <w:p>
      <w:pPr>
        <w:pStyle w:val="Heading2"/>
        <w:bidi/>
        <w:spacing w:after="100" w:before="180"/>
        <w:jc w:val="right"/>
      </w:pPr>
      <w:r>
        <w:rPr>
          <w:rFonts w:ascii="David" w:cs="David" w:eastAsia="David" w:hAnsi="David"/>
          <w:b/>
          <w:bCs/>
          <w:i w:val="false"/>
          <w:iCs w:val="false"/>
          <w:color w:val="000000"/>
          <w:sz w:val="26"/>
          <w:szCs w:val="26"/>
          <w:rtl/>
        </w:rPr>
        <w:t xml:space="preserve">הקשר בין שני מדדי המסוגלות</w:t>
      </w:r>
    </w:p>
    <w:p>
      <w:pPr>
        <w:bidi/>
        <w:spacing w:after="160" w:before="0" w:line="360"/>
        <w:jc w:val="both"/>
      </w:pPr>
      <w:r>
        <w:rPr>
          <w:rFonts w:ascii="David" w:cs="David" w:eastAsia="David" w:hAnsi="David"/>
          <w:b w:val="false"/>
          <w:bCs w:val="false"/>
          <w:i w:val="false"/>
          <w:iCs w:val="false"/>
          <w:color w:val="000000"/>
          <w:sz w:val="24"/>
          <w:szCs w:val="24"/>
          <w:rtl/>
        </w:rPr>
        <w:t xml:space="preserve">לבסוף נבחן הקשר בין שני מדדי המסוגלות באמצעות מתאם פירסון. נמצא מתאם חיובי בינוני-גבוה בין החוללות העצמית הכללית לבין תחושת המסוגלות של המורה, r(31)=.52, p=.002, כך שככל שתחושת החוללות הכללית של המשתתף גבוהה יותר, כך נטתה להיות גבוהה יותר גם תחושת המסוגלות שלו בהקשר ההוראה. מתאם זה עולה בקנה אחד עם התפיסה שמסוגלות עצמית כללית מהווה בסיס למסוגלות ספציפית לתחום.</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דיון</w:t>
      </w:r>
    </w:p>
    <w:p>
      <w:pPr>
        <w:bidi/>
        <w:spacing w:after="160" w:before="0" w:line="360"/>
        <w:jc w:val="both"/>
      </w:pPr>
      <w:r>
        <w:rPr>
          <w:rFonts w:ascii="David" w:cs="David" w:eastAsia="David" w:hAnsi="David"/>
          <w:b w:val="false"/>
          <w:bCs w:val="false"/>
          <w:i w:val="false"/>
          <w:iCs w:val="false"/>
          <w:color w:val="000000"/>
          <w:sz w:val="24"/>
          <w:szCs w:val="24"/>
          <w:rtl/>
        </w:rPr>
        <w:t xml:space="preserve">מטרת המחקר הנוכחי הייתה לבחון את השפעתם של שני מקורות החוללות המרכזיים, חוויית שליטה וחשיפה עקיפה, על תחושת המסוגלות של סטודנטים בהכשרה להוראה, בשני מדדים: חוללות עצמית כללית ותחושת המסוגלות של המורה. ההשערה אוששה באופן חלקי בשני המדדים. בשניהם קבוצת חוויית השליטה דיווחה על המסוגלות הגבוהה ביותר ונבדלה באופן מובהק מקבוצת הביקורת, בעוד שקבוצת החשיפה העקיפה נמצאה בתווך אך לא נבדלה מהביקורת באופן מובהק. עם זאת, גודל האפקט בתחושת המסוגלות של המורה היה מעט קטן יותר מזה שנמצא בחוללות הכללית.</w:t>
      </w:r>
    </w:p>
    <w:p>
      <w:pPr>
        <w:bidi/>
        <w:spacing w:after="160" w:before="0" w:line="360"/>
        <w:jc w:val="both"/>
      </w:pPr>
      <w:r>
        <w:rPr>
          <w:rFonts w:ascii="David" w:cs="David" w:eastAsia="David" w:hAnsi="David"/>
          <w:b w:val="false"/>
          <w:bCs w:val="false"/>
          <w:i w:val="false"/>
          <w:iCs w:val="false"/>
          <w:color w:val="000000"/>
          <w:sz w:val="24"/>
          <w:szCs w:val="24"/>
          <w:rtl/>
        </w:rPr>
        <w:t xml:space="preserve">הממצא שלפיו היזכרות בהצלחה אישית העלתה את תחושת המסוגלות, בשני המדדים, עולה בקנה אחד עם הטענה של בנדורה, שלפיה חוויות שליטה הן המקור החזק ביותר לחוללות עצמית (Bandura, 1997). התוצאה גם מתיישבת עם ממצאים לפיהם תחושת המסוגלות ניתנת לחיזוק ומשפיעה על מוטיבציה ועל הישגים (שאנק, 2001; Basileo et al., 2024). העובדה שהאפקט על תחושת המסוגלות של המורה היה מעט חלש יותר מתיישבת עם התפיסה שמסוגלות ספציפית לתחום ההוראה מעוגנת יותר בהתנסות ההוראה עצמה, ולכן פחות רגישה לאינדוקציה קצרה וכללית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ההיעדר של אפקט מובהק בקבוצת החשיפה העקיפה ניתן להסבר בכמה דרכים. לפי בנדורה (Bandura, 1997), עוצמת ההשפעה של מודל תלויה במידת הדמיון הנתפס בינו לבין הצופה, וייתכן שעדות כתובה של עמית אנונימי לא יצרה תחושת דמיון מספקת. בנוסף, קריאת טקסט קצר עשויה להיות פחות משכנעת מהתבוננות במודל חי, וייתכן שחשיפה חד-פעמית אינה מספיקה כדי להשפיע.</w:t>
      </w:r>
    </w:p>
    <w:p>
      <w:pPr>
        <w:bidi/>
        <w:spacing w:after="160" w:before="0" w:line="360"/>
        <w:jc w:val="both"/>
      </w:pPr>
      <w:r>
        <w:rPr>
          <w:rFonts w:ascii="David" w:cs="David" w:eastAsia="David" w:hAnsi="David"/>
          <w:b w:val="false"/>
          <w:bCs w:val="false"/>
          <w:i w:val="false"/>
          <w:iCs w:val="false"/>
          <w:color w:val="000000"/>
          <w:sz w:val="24"/>
          <w:szCs w:val="24"/>
          <w:rtl/>
        </w:rPr>
        <w:t xml:space="preserve">למחקר כמה מגבלות. ראשית, מדובר במדגם נוחות קטן (N=33) המורכב מסטודנטים בהכשרה להוראה בלבד, ולכן ההכללה לאוכלוסייה הרחבה מוגבלת והעוצמה הסטטיסטית נמוכה. שנית, המחקר נשען על דיווח עצמי, שחשוף להטיית רצייה חברתית. שלישית, לא נמדדה רמת החוללות לפני המניפולציה, כך שההשוואה בין-נבדקית בלבד. רביעית, לא נכלל מבחן מניפולציה שיוודא שהמשימות אכן הפעילו את התהליכים המיועדים, והמדידה נגעה להשפעה מיידית ומצבית בלבד.</w:t>
      </w:r>
    </w:p>
    <w:p>
      <w:pPr>
        <w:bidi/>
        <w:spacing w:after="160" w:before="0" w:line="360"/>
        <w:jc w:val="both"/>
      </w:pPr>
      <w:r>
        <w:rPr>
          <w:rFonts w:ascii="David" w:cs="David" w:eastAsia="David" w:hAnsi="David"/>
          <w:b w:val="false"/>
          <w:bCs w:val="false"/>
          <w:i w:val="false"/>
          <w:iCs w:val="false"/>
          <w:color w:val="000000"/>
          <w:sz w:val="24"/>
          <w:szCs w:val="24"/>
          <w:rtl/>
        </w:rPr>
        <w:t xml:space="preserve">מחקרי המשך יוכלו להגדיל ולגוון את המדגם, להוסיף מדידת בסיס ותכנון עם מדידות חוזרות, ולחזק את מניפולציית החשיפה העקיפה, למשל באמצעות מודל וידאו חי או מודל דומה למשתתף. כדאי גם להוסיף מבחן מניפולציה ולבחון את עמידות האפקט לאורך זמן. חרף מגבלותיו, המחקר ממחיש שאף התערבות קצרה של היזכרות בהצלחה יכולה להעלות את תחושת המסוגלות, ממצא בעל ערך יישומי בהכשרת מורים ובהקשרים חינוכיים. חיזוק תחושת המסוגלות של סטודנטים להוראה כבר בשלב ההכשרה עשוי לתרום בהמשך לתחושת המסוגלות המקצועית שלהם, למחויבותם למקצוע ולהתמודדותם עם שחיקה.</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ביבליוגרפיה</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אבו-אסעד, א', ואביטן, ע' (2020). הקשר בין מסוגלות עצמית לבין נדידת מחשבות, יחסים עם הורים ושחיקה בקרב מטפלות-מחנכות בגיל הרך בחברה הערבית. מעיינות, ד.</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גרינבנק, א', ואגם בן-ארצי, ג' (2018). תחושת המסוגלות העצמית של סייעות פדגוגיות העובדות עם תלמידים עם צרכים מיוחדים. מפגש לעבודה חינוכית-סוציאלית, 26(47), 53-73.</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זבידאת, א', דלאשה, ו', ובשיר, ס' (2019). הכלה, מסוגלות עצמית ואמפתיה כלפי תלמידים עם הפרעת למידה ספציפית. במעגלי חינוך: מחקר, עיון ויצירה, 8. המכללה האקדמית לחינוך ע"ש דוד ילין.</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לב, ס', וריץ', י' (1999). מסוגלות מורים: משמעותה, מדידתה ותרומתו של היועץ לחיזוקה. עיונים בחינוך, 4(1), 87-117.</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שאנק, ד' ה' (2001). מסוגלות עצמית ומוטיבציה לימודית. חינוך החשיבה, 20, 55-77. מכון ברנקו וייס. (תורגם מ: Schunk, D. H. (1991). Self-efficacy and academic motivation. Educational Psychologist, 26(3-4), 207-231.)</w:t>
      </w:r>
    </w:p>
    <w:p>
      <w:pPr>
        <w:spacing w:after="140" w:line="360"/>
        <w:ind w:left="720" w:hanging="720"/>
        <w:jc w:val="left"/>
      </w:pPr>
      <w:r>
        <w:rPr>
          <w:rFonts w:ascii="David" w:cs="David" w:eastAsia="David" w:hAnsi="David"/>
          <w:i w:val="false"/>
          <w:iCs w:val="false"/>
          <w:sz w:val="24"/>
          <w:szCs w:val="24"/>
        </w:rPr>
        <w:t xml:space="preserve">Abdolrezapour, P., Jahanbakhsh Ganjeh, S., &amp; Ghanbari, N. (2023). Self-efficacy and resilience as predictors of students’ academic motivation in online education. </w:t>
      </w:r>
      <w:r>
        <w:rPr>
          <w:rFonts w:ascii="David" w:cs="David" w:eastAsia="David" w:hAnsi="David"/>
          <w:i/>
          <w:iCs/>
          <w:sz w:val="24"/>
          <w:szCs w:val="24"/>
        </w:rPr>
        <w:t xml:space="preserve">PLOS ONE, 18</w:t>
      </w:r>
      <w:r>
        <w:rPr>
          <w:rFonts w:ascii="David" w:cs="David" w:eastAsia="David" w:hAnsi="David"/>
          <w:i w:val="false"/>
          <w:iCs w:val="false"/>
          <w:sz w:val="24"/>
          <w:szCs w:val="24"/>
        </w:rPr>
        <w:t xml:space="preserve">(5), e0285984. https://doi.org/10.1371/journal.pone.0285984</w:t>
      </w:r>
    </w:p>
    <w:p>
      <w:pPr>
        <w:spacing w:after="140" w:line="360"/>
        <w:ind w:left="720" w:hanging="720"/>
        <w:jc w:val="left"/>
      </w:pPr>
      <w:r>
        <w:rPr>
          <w:rFonts w:ascii="David" w:cs="David" w:eastAsia="David" w:hAnsi="David"/>
          <w:i w:val="false"/>
          <w:iCs w:val="false"/>
          <w:sz w:val="24"/>
          <w:szCs w:val="24"/>
        </w:rPr>
        <w:t xml:space="preserve">Bandura, A. (1977). Self-efficacy: Toward a unifying theory of behavioral change. </w:t>
      </w:r>
      <w:r>
        <w:rPr>
          <w:rFonts w:ascii="David" w:cs="David" w:eastAsia="David" w:hAnsi="David"/>
          <w:i/>
          <w:iCs/>
          <w:sz w:val="24"/>
          <w:szCs w:val="24"/>
        </w:rPr>
        <w:t xml:space="preserve">Psychological Review, 84</w:t>
      </w:r>
      <w:r>
        <w:rPr>
          <w:rFonts w:ascii="David" w:cs="David" w:eastAsia="David" w:hAnsi="David"/>
          <w:i w:val="false"/>
          <w:iCs w:val="false"/>
          <w:sz w:val="24"/>
          <w:szCs w:val="24"/>
        </w:rPr>
        <w:t xml:space="preserve">(2), 191-215. https://doi.org/10.1037/0033-295X.84.2.191</w:t>
      </w:r>
    </w:p>
    <w:p>
      <w:pPr>
        <w:spacing w:after="140" w:line="360"/>
        <w:ind w:left="720" w:hanging="720"/>
        <w:jc w:val="left"/>
      </w:pPr>
      <w:r>
        <w:rPr>
          <w:rFonts w:ascii="David" w:cs="David" w:eastAsia="David" w:hAnsi="David"/>
          <w:i w:val="false"/>
          <w:iCs w:val="false"/>
          <w:sz w:val="24"/>
          <w:szCs w:val="24"/>
        </w:rPr>
        <w:t xml:space="preserve">Bandura, A. (1997). </w:t>
      </w:r>
      <w:r>
        <w:rPr>
          <w:rFonts w:ascii="David" w:cs="David" w:eastAsia="David" w:hAnsi="David"/>
          <w:i/>
          <w:iCs/>
          <w:sz w:val="24"/>
          <w:szCs w:val="24"/>
        </w:rPr>
        <w:t xml:space="preserve">Self-efficacy: The exercise of control</w:t>
      </w:r>
      <w:r>
        <w:rPr>
          <w:rFonts w:ascii="David" w:cs="David" w:eastAsia="David" w:hAnsi="David"/>
          <w:i w:val="false"/>
          <w:iCs w:val="false"/>
          <w:sz w:val="24"/>
          <w:szCs w:val="24"/>
        </w:rPr>
        <w:t xml:space="preserve">. W. H. Freeman.</w:t>
      </w:r>
    </w:p>
    <w:p>
      <w:pPr>
        <w:spacing w:after="140" w:line="360"/>
        <w:ind w:left="720" w:hanging="720"/>
        <w:jc w:val="left"/>
      </w:pPr>
      <w:r>
        <w:rPr>
          <w:rFonts w:ascii="David" w:cs="David" w:eastAsia="David" w:hAnsi="David"/>
          <w:i w:val="false"/>
          <w:iCs w:val="false"/>
          <w:sz w:val="24"/>
          <w:szCs w:val="24"/>
        </w:rPr>
        <w:t xml:space="preserve">Basileo, L. D., Otto, B., Lyons, M., Vannini, N., &amp; Toth, M. D. (2024). The role of self-efficacy, motivation, and perceived support of students’ basic psychological needs in academic achievement. </w:t>
      </w:r>
      <w:r>
        <w:rPr>
          <w:rFonts w:ascii="David" w:cs="David" w:eastAsia="David" w:hAnsi="David"/>
          <w:i/>
          <w:iCs/>
          <w:sz w:val="24"/>
          <w:szCs w:val="24"/>
        </w:rPr>
        <w:t xml:space="preserve">Frontiers in Education, 9</w:t>
      </w:r>
      <w:r>
        <w:rPr>
          <w:rFonts w:ascii="David" w:cs="David" w:eastAsia="David" w:hAnsi="David"/>
          <w:i w:val="false"/>
          <w:iCs w:val="false"/>
          <w:sz w:val="24"/>
          <w:szCs w:val="24"/>
        </w:rPr>
        <w:t xml:space="preserve">, 1385442. https://doi.org/10.3389/feduc.2024.1385442</w:t>
      </w:r>
    </w:p>
    <w:p>
      <w:pPr>
        <w:spacing w:after="140" w:line="360"/>
        <w:ind w:left="720" w:hanging="720"/>
        <w:jc w:val="left"/>
      </w:pP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 https://doi.org/10.1177/109442810141004</w:t>
      </w:r>
    </w:p>
    <w:p>
      <w:pPr>
        <w:spacing w:after="140" w:line="360"/>
        <w:ind w:left="720" w:hanging="720"/>
        <w:jc w:val="left"/>
      </w:pPr>
      <w:r>
        <w:rPr>
          <w:rFonts w:ascii="David" w:cs="David" w:eastAsia="David" w:hAnsi="David"/>
          <w:i w:val="false"/>
          <w:iCs w:val="false"/>
          <w:sz w:val="24"/>
          <w:szCs w:val="24"/>
        </w:rPr>
        <w:t xml:space="preserve">Luszczynska, A., Scholz, U., &amp; Schwarzer, R. (2005). The general self-efficacy scale: Multicultural validation studies. </w:t>
      </w:r>
      <w:r>
        <w:rPr>
          <w:rFonts w:ascii="David" w:cs="David" w:eastAsia="David" w:hAnsi="David"/>
          <w:i/>
          <w:iCs/>
          <w:sz w:val="24"/>
          <w:szCs w:val="24"/>
        </w:rPr>
        <w:t xml:space="preserve">The Journal of Psychology, 139</w:t>
      </w:r>
      <w:r>
        <w:rPr>
          <w:rFonts w:ascii="David" w:cs="David" w:eastAsia="David" w:hAnsi="David"/>
          <w:i w:val="false"/>
          <w:iCs w:val="false"/>
          <w:sz w:val="24"/>
          <w:szCs w:val="24"/>
        </w:rPr>
        <w:t xml:space="preserve">(5), 439-457. https://doi.org/10.3200/JRLP.139.5.439-457</w:t>
      </w:r>
    </w:p>
    <w:p>
      <w:pPr>
        <w:spacing w:after="140" w:line="360"/>
        <w:ind w:left="720" w:hanging="720"/>
        <w:jc w:val="left"/>
      </w:pPr>
      <w:r>
        <w:rPr>
          <w:rFonts w:ascii="David" w:cs="David" w:eastAsia="David" w:hAnsi="David"/>
          <w:i w:val="false"/>
          <w:iCs w:val="false"/>
          <w:sz w:val="24"/>
          <w:szCs w:val="24"/>
        </w:rPr>
        <w:t xml:space="preserve">Tschannen-Moran, M., &amp; Woolfolk Hoy, A. (2001). Teacher efficacy: Capturing an elusive construct. </w:t>
      </w:r>
      <w:r>
        <w:rPr>
          <w:rFonts w:ascii="David" w:cs="David" w:eastAsia="David" w:hAnsi="David"/>
          <w:i/>
          <w:iCs/>
          <w:sz w:val="24"/>
          <w:szCs w:val="24"/>
        </w:rPr>
        <w:t xml:space="preserve">Teaching and Teacher Education, 17</w:t>
      </w:r>
      <w:r>
        <w:rPr>
          <w:rFonts w:ascii="David" w:cs="David" w:eastAsia="David" w:hAnsi="David"/>
          <w:i w:val="false"/>
          <w:iCs w:val="false"/>
          <w:sz w:val="24"/>
          <w:szCs w:val="24"/>
        </w:rPr>
        <w:t xml:space="preserve">(7), 783-805. https://doi.org/10.1016/S0742-051X(01)00036-1</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נספחים</w:t>
      </w:r>
    </w:p>
    <w:p>
      <w:pPr>
        <w:pStyle w:val="Heading2"/>
        <w:bidi/>
        <w:spacing w:after="100" w:before="180"/>
        <w:jc w:val="right"/>
      </w:pPr>
      <w:r>
        <w:rPr>
          <w:rFonts w:ascii="David" w:cs="David" w:eastAsia="David" w:hAnsi="David"/>
          <w:b/>
          <w:bCs/>
          <w:i w:val="false"/>
          <w:iCs w:val="false"/>
          <w:color w:val="000000"/>
          <w:sz w:val="26"/>
          <w:szCs w:val="26"/>
          <w:rtl/>
        </w:rPr>
        <w:t xml:space="preserve">נספח 1 - שאלון דמוגרפי</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מגדר: זכר / נקבה / אחר</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גיל: ______</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השכלה: תיכונית / לימודי תעודה / אקדמית</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מקום מגורים: צפון / מרכז / דרום / יהודה ושומרון</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2 - מניפולציה</w:t>
      </w:r>
    </w:p>
    <w:p>
      <w:pPr>
        <w:bidi/>
        <w:spacing w:after="160" w:before="0" w:line="360"/>
        <w:jc w:val="both"/>
      </w:pPr>
      <w:r>
        <w:rPr>
          <w:rFonts w:ascii="David" w:cs="David" w:eastAsia="David" w:hAnsi="David"/>
          <w:b/>
          <w:bCs/>
          <w:i w:val="false"/>
          <w:iCs w:val="false"/>
          <w:color w:val="000000"/>
          <w:sz w:val="24"/>
          <w:szCs w:val="24"/>
          <w:rtl/>
        </w:rPr>
        <w:t xml:space="preserve">קבוצת ניסוי (חוויית שליטה): </w:t>
      </w:r>
      <w:r>
        <w:rPr>
          <w:rFonts w:ascii="David" w:cs="David" w:eastAsia="David" w:hAnsi="David"/>
          <w:b w:val="false"/>
          <w:bCs w:val="false"/>
          <w:i w:val="false"/>
          <w:iCs w:val="false"/>
          <w:color w:val="000000"/>
          <w:sz w:val="24"/>
          <w:szCs w:val="24"/>
          <w:rtl/>
        </w:rPr>
        <w:t xml:space="preserve">"אנא היזכר/י באירוע מן העבר שבו התמודדת עם משימה מאתגרת והצלחת בה בזכות מאמץ והתמדה. תאר/י בכתב, במשך כארבע דקות, מה עשית וכיצד הרגשת בעקבות ההצלחה."</w:t>
      </w:r>
    </w:p>
    <w:p>
      <w:pPr>
        <w:bidi/>
        <w:spacing w:after="160" w:before="0" w:line="360"/>
        <w:jc w:val="both"/>
      </w:pPr>
      <w:r>
        <w:rPr>
          <w:rFonts w:ascii="David" w:cs="David" w:eastAsia="David" w:hAnsi="David"/>
          <w:b/>
          <w:bCs/>
          <w:i w:val="false"/>
          <w:iCs w:val="false"/>
          <w:color w:val="000000"/>
          <w:sz w:val="24"/>
          <w:szCs w:val="24"/>
          <w:rtl/>
        </w:rPr>
        <w:t xml:space="preserve">קבוצת השוואה (חשיפה עקיפה): </w:t>
      </w:r>
      <w:r>
        <w:rPr>
          <w:rFonts w:ascii="David" w:cs="David" w:eastAsia="David" w:hAnsi="David"/>
          <w:b w:val="false"/>
          <w:bCs w:val="false"/>
          <w:i w:val="false"/>
          <w:iCs w:val="false"/>
          <w:color w:val="000000"/>
          <w:sz w:val="24"/>
          <w:szCs w:val="24"/>
          <w:rtl/>
        </w:rPr>
        <w:t xml:space="preserve">"לפניך עדות קצרה של סטודנט/ית: 'בתחילת הסמסטר התקשיתי מאוד בקורס הסטטיסטיקה וחשבתי שלא אצליח. חילקתי את החומר לחלקים קטנים, תרגלתי מדי יום ונעזרתי בקבוצת למידה. בהדרגה הרגשתי שאני שולט/ת בחומר, ובסופו של דבר עברתי את המבחן בהצלחה.' אנא קרא/י את העדות והרהר/י בה במשך כדקה."</w:t>
      </w:r>
    </w:p>
    <w:p>
      <w:pPr>
        <w:bidi/>
        <w:spacing w:after="160" w:before="0" w:line="360"/>
        <w:jc w:val="both"/>
      </w:pPr>
      <w:r>
        <w:rPr>
          <w:rFonts w:ascii="David" w:cs="David" w:eastAsia="David" w:hAnsi="David"/>
          <w:b/>
          <w:bCs/>
          <w:i w:val="false"/>
          <w:iCs w:val="false"/>
          <w:color w:val="000000"/>
          <w:sz w:val="24"/>
          <w:szCs w:val="24"/>
          <w:rtl/>
        </w:rPr>
        <w:t xml:space="preserve">קבוצת ביקורת: </w:t>
      </w:r>
      <w:r>
        <w:rPr>
          <w:rFonts w:ascii="David" w:cs="David" w:eastAsia="David" w:hAnsi="David"/>
          <w:b w:val="false"/>
          <w:bCs w:val="false"/>
          <w:i w:val="false"/>
          <w:iCs w:val="false"/>
          <w:color w:val="000000"/>
          <w:sz w:val="24"/>
          <w:szCs w:val="24"/>
          <w:rtl/>
        </w:rPr>
        <w:t xml:space="preserve">"תאר/י בכתב, במשך כארבע דקות, את מסלול ההגעה היומי שלך מהבית אל מקום הלימודים, בלי להתייחס למטרות או לרגשות."</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3 - שאלון חוללות עצמית כללית (Chen et al., 2001)</w:t>
      </w:r>
    </w:p>
    <w:p>
      <w:pPr>
        <w:bidi/>
        <w:spacing w:after="100" w:before="0" w:line="360"/>
        <w:jc w:val="both"/>
      </w:pPr>
      <w:r>
        <w:rPr>
          <w:rFonts w:ascii="David" w:cs="David" w:eastAsia="David" w:hAnsi="David"/>
          <w:b w:val="false"/>
          <w:bCs w:val="false"/>
          <w:i w:val="false"/>
          <w:iCs w:val="false"/>
          <w:color w:val="000000"/>
          <w:sz w:val="24"/>
          <w:szCs w:val="24"/>
          <w:rtl/>
        </w:rPr>
        <w:t xml:space="preserve">לפניך שמונה היגדים. לכל היגד סמן/י בעמודה המתאימה עד כמה את/ה מסכים/ה עמו, בסולם שבין 1 (מתנגד מאוד) ל-5 (מסכים מאוד). אין תשובות נכונות או שגויות.</w:t>
      </w:r>
    </w:p>
    <w:tbl>
      <w:tblPr>
        <w:bidiVisual/>
        <w:tblW w:type="dxa" w:w="905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1050"/>
        <w:gridCol w:w="1050"/>
        <w:gridCol w:w="1050"/>
        <w:gridCol w:w="1050"/>
        <w:gridCol w:w="1050"/>
      </w:tblGrid>
      <w:tr>
        <w:trPr>
          <w:tblHeader/>
        </w:trP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bCs/>
                <w:i w:val="false"/>
                <w:iCs w:val="false"/>
                <w:color w:val="000000"/>
                <w:sz w:val="18"/>
                <w:szCs w:val="18"/>
                <w:rtl/>
              </w:rPr>
              <w:t xml:space="preserve">היגד</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מתנגד מאוד (1)</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מתנגד (2)</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לא מסכים ולא מתנגד (3)</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מסכים (4)</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מסכים מאוד (5)</w:t>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1. אני יכול להשיג את מרבית המטרות שהצבתי לעצמי.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2. באופן כללי, אני חושב שאני יכול להשיג את מה שחשוב לי.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3. אף כאשר המצב קשה, אני יכול לבצע טוב למדי.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4. כאשר אני ניצב מול משימות קשות, אני בטוח שאוכל לבצען.</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5. אני בטוח שאני יכול לבצע מטלות רבות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6. אוכל לעמוד באתגרים רבים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7. אני יכול להצליח בכל משימה כאשר אני נחוש בדעתי.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8. בהשוואה לאנשים אחרים, אני יכול לבצע את רוב המטלות היטב.</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bl>
    <w:p>
      <w:r>
        <w:br w:type="page"/>
      </w:r>
    </w:p>
    <w:p>
      <w:pPr>
        <w:pStyle w:val="Heading2"/>
        <w:bidi/>
        <w:spacing w:after="100" w:before="180"/>
        <w:jc w:val="right"/>
      </w:pPr>
      <w:r>
        <w:rPr>
          <w:rFonts w:ascii="David" w:cs="David" w:eastAsia="David" w:hAnsi="David"/>
          <w:b/>
          <w:bCs/>
          <w:i w:val="false"/>
          <w:iCs w:val="false"/>
          <w:color w:val="000000"/>
          <w:sz w:val="26"/>
          <w:szCs w:val="26"/>
          <w:rtl/>
        </w:rPr>
        <w:t xml:space="preserve">נספח 4 - שאלון תחושת המסוגלות של המורה (TSES;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לכל היגד סמן/י את המספר המתאר עד כמה את/ה מסוגל/ת לעשות זאת, בסולם שבין 1 (כלל לא) ל-9 (במידה רבה מאוד).</w:t>
      </w:r>
    </w:p>
    <w:p>
      <w:pPr>
        <w:bidi/>
        <w:spacing w:after="100" w:before="0" w:line="360"/>
        <w:jc w:val="both"/>
      </w:pPr>
      <w:r>
        <w:rPr>
          <w:rFonts w:ascii="David" w:cs="David" w:eastAsia="David" w:hAnsi="David"/>
          <w:b w:val="false"/>
          <w:bCs w:val="false"/>
          <w:i/>
          <w:iCs/>
          <w:color w:val="000000"/>
          <w:sz w:val="24"/>
          <w:szCs w:val="24"/>
          <w:rtl/>
        </w:rPr>
        <w:t xml:space="preserve">סולם התשובות: 1 = כלל לא, 3 = במידה מועטה, 5 = במידה מסוימת, 7 = במידה רבה, 9 = במידה רבה מאוד.</w:t>
      </w:r>
    </w:p>
    <w:p>
      <w:pPr>
        <w:bidi/>
        <w:spacing w:after="60" w:before="0" w:line="360"/>
        <w:jc w:val="both"/>
      </w:pPr>
      <w:r>
        <w:rPr>
          <w:rFonts w:ascii="David" w:cs="David" w:eastAsia="David" w:hAnsi="David"/>
          <w:b/>
          <w:bCs/>
          <w:i w:val="false"/>
          <w:iCs w:val="false"/>
          <w:color w:val="000000"/>
          <w:sz w:val="24"/>
          <w:szCs w:val="24"/>
          <w:rtl/>
        </w:rPr>
        <w:t xml:space="preserve">מעורבות תלמידים</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שאינם מגלים עניין בלימודים להתעניין בהם?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להאמין שהם מסוגלים להצליח בלימודים?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לעזור לתלמידים להעריך את הלמידה?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לסייע למשפחות בעזרה לילדיהן להצליח בלימודים?        1  2  3  4  5  6  7  8  9</w:t>
      </w:r>
    </w:p>
    <w:p>
      <w:pPr>
        <w:bidi/>
        <w:spacing w:after="60" w:before="80" w:line="360"/>
        <w:jc w:val="both"/>
      </w:pPr>
      <w:r>
        <w:rPr>
          <w:rFonts w:ascii="David" w:cs="David" w:eastAsia="David" w:hAnsi="David"/>
          <w:b/>
          <w:bCs/>
          <w:i w:val="false"/>
          <w:iCs w:val="false"/>
          <w:color w:val="000000"/>
          <w:sz w:val="24"/>
          <w:szCs w:val="24"/>
          <w:rtl/>
        </w:rPr>
        <w:t xml:space="preserve">אסטרטגיות הוראה</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לנסח שאלות טובות עבור תלמידיך?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להשתמש במגוון דרכי הערכה?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לספק הסבר חלופי או דוגמה נוספת כאשר תלמידים מתקשים להבין?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ליישם דרכי הוראה חלופיות בכיתתך?        1  2  3  4  5  6  7  8  9</w:t>
      </w:r>
    </w:p>
    <w:p>
      <w:pPr>
        <w:bidi/>
        <w:spacing w:after="60" w:before="80" w:line="360"/>
        <w:jc w:val="both"/>
      </w:pPr>
      <w:r>
        <w:rPr>
          <w:rFonts w:ascii="David" w:cs="David" w:eastAsia="David" w:hAnsi="David"/>
          <w:b/>
          <w:bCs/>
          <w:i w:val="false"/>
          <w:iCs w:val="false"/>
          <w:color w:val="000000"/>
          <w:sz w:val="24"/>
          <w:szCs w:val="24"/>
          <w:rtl/>
        </w:rPr>
        <w:t xml:space="preserve">ניהול כיתה</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לשלוט בהתנהגות משבשת בכיתה?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לציית לכללי הכיתה?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להרגיע תלמיד/ה משבש/ת או רועש/ת?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לבסס מערכת ניהול כיתה עם כל קבוצת תלמידים?        1  2  3  4  5  6  7  8  9</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576" w:hanging="316"/>
      </w:pPr>
      <w:rPr>
        <w:rFonts w:ascii="David" w:cs="David" w:eastAsia="David" w:hAnsi="Davi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David" w:cs="David" w:eastAsia="David" w:hAnsi="David"/>
      <w:b/>
      <w:bCs/>
      <w:color w:val="000000"/>
      <w:sz w:val="30"/>
      <w:szCs w:val="30"/>
    </w:rPr>
  </w:style>
  <w:style w:type="paragraph" w:styleId="Heading2">
    <w:name w:val="Heading 2"/>
    <w:basedOn w:val="Normal"/>
    <w:next w:val="Normal"/>
    <w:qFormat/>
    <w:rPr>
      <w:rFonts w:ascii="David" w:cs="David" w:eastAsia="David" w:hAnsi="David"/>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901c12da345ee0631c5753ee5dd0f978deb4d6d.png"/><Relationship Id="rId9" Type="http://schemas.openxmlformats.org/officeDocument/2006/relationships/image" Target="media/5dc292dbc3b63c0dd2ef34a8ab8d82eee1fd8a7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סמינריון חוללות עצמית</dc:title>
  <dc:creator>ClickWriting</dc:creator>
  <cp:lastModifiedBy>Un-named</cp:lastModifiedBy>
  <cp:revision>1</cp:revision>
  <dcterms:created xsi:type="dcterms:W3CDTF">2026-07-27T09:01:41.490Z</dcterms:created>
  <dcterms:modified xsi:type="dcterms:W3CDTF">2026-07-27T09:01:41.509Z</dcterms:modified>
</cp:coreProperties>
</file>

<file path=docProps/custom.xml><?xml version="1.0" encoding="utf-8"?>
<Properties xmlns="http://schemas.openxmlformats.org/officeDocument/2006/custom-properties" xmlns:vt="http://schemas.openxmlformats.org/officeDocument/2006/docPropsVTypes"/>
</file>