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imes New Roman" w:cs="David" w:eastAsia="David" w:hAnsi="Times New Roman"/>
          <w:b/>
          <w:bCs/>
          <w:sz w:val="28"/>
          <w:szCs w:val="28"/>
          <w:rtl/>
        </w:rPr>
        <w:t xml:space="preserve">[שם המוסד והפקולטה]</w:t>
      </w:r>
    </w:p>
    <w:p>
      <w:pPr>
        <w:bidi/>
        <w:spacing w:after="120"/>
        <w:jc w:val="center"/>
      </w:pPr>
      <w:r>
        <w:rPr>
          <w:rFonts w:ascii="Times New Roman" w:cs="David" w:eastAsia="David" w:hAnsi="Times New Roman"/>
          <w:sz w:val="26"/>
          <w:szCs w:val="26"/>
          <w:rtl/>
        </w:rPr>
        <w:t xml:space="preserve">סמינריון מונחה במשפט פלילי</w:t>
      </w:r>
    </w:p>
    <w:p>
      <w:pPr>
        <w:bidi/>
        <w:spacing w:after="1600"/>
        <w:jc w:val="center"/>
      </w:pPr>
      <w:r>
        <w:rPr>
          <w:rFonts w:ascii="Times New Roman" w:cs="David" w:eastAsia="David" w:hAnsi="Times New Roman"/>
          <w:sz w:val="26"/>
          <w:szCs w:val="26"/>
          <w:rtl/>
        </w:rPr>
        <w:t xml:space="preserve">המנחה: ד"ר עו"ד גלית אהרון</w:t>
      </w:r>
    </w:p>
    <w:p>
      <w:pPr>
        <w:bidi/>
        <w:spacing w:after="200"/>
        <w:jc w:val="center"/>
      </w:pPr>
      <w:r>
        <w:rPr>
          <w:rFonts w:ascii="Times New Roman" w:cs="David" w:eastAsia="David" w:hAnsi="Times New Roman"/>
          <w:b/>
          <w:bCs/>
          <w:sz w:val="36"/>
          <w:szCs w:val="36"/>
          <w:rtl/>
        </w:rPr>
        <w:t xml:space="preserve">רפורמת אמו"ן במשטרת ישראל: בין אפקטיביות עקרונית ליישום בפועל</w:t>
      </w:r>
    </w:p>
    <w:p>
      <w:pPr>
        <w:bidi/>
        <w:spacing w:after="1600"/>
        <w:jc w:val="center"/>
      </w:pPr>
      <w:r>
        <w:rPr>
          <w:rFonts w:ascii="Times New Roman" w:cs="David" w:eastAsia="David" w:hAnsi="Times New Roman"/>
          <w:sz w:val="30"/>
          <w:szCs w:val="30"/>
          <w:rtl/>
        </w:rPr>
        <w:t xml:space="preserve">אכיפה, הפחתת עבריינות ולגיטימציה בקרב צעירים ערבים בני 18 עד 24</w:t>
      </w:r>
    </w:p>
    <w:p>
      <w:pPr>
        <w:bidi/>
        <w:spacing w:after="120"/>
        <w:jc w:val="center"/>
      </w:pPr>
      <w:r>
        <w:rPr>
          <w:rFonts w:ascii="Times New Roman" w:cs="David" w:eastAsia="David" w:hAnsi="Times New Roman"/>
          <w:sz w:val="26"/>
          <w:szCs w:val="26"/>
          <w:rtl/>
        </w:rPr>
        <w:t xml:space="preserve">מגיש/ה: [שם מלא]    ת"ז: [מספר]</w:t>
      </w:r>
    </w:p>
    <w:p>
      <w:pPr>
        <w:bidi/>
        <w:spacing w:after="120"/>
        <w:jc w:val="center"/>
      </w:pPr>
      <w:r>
        <w:rPr>
          <w:rFonts w:ascii="Times New Roman" w:cs="David" w:eastAsia="David" w:hAnsi="Times New Roman"/>
          <w:sz w:val="26"/>
          <w:szCs w:val="26"/>
          <w:rtl/>
        </w:rPr>
        <w:t xml:space="preserve">תשרי התשפ"ז, ספטמבר 2026</w:t>
      </w:r>
    </w:p>
    <w:p>
      <w:r>
        <w:br w:type="page"/>
      </w:r>
    </w:p>
    <w:p>
      <w:pPr>
        <w:bidi/>
        <w:spacing w:after="240"/>
        <w:jc w:val="center"/>
      </w:pPr>
      <w:r>
        <w:rPr>
          <w:rFonts w:ascii="Times New Roman" w:cs="David" w:eastAsia="David" w:hAnsi="Times New Roman"/>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jc w:val="center"/>
      </w:pPr>
      <w:r>
        <w:rPr>
          <w:rFonts w:ascii="Times New Roman" w:cs="David" w:eastAsia="David" w:hAnsi="Times New Roman"/>
          <w:b/>
          <w:bCs/>
          <w:sz w:val="32"/>
          <w:szCs w:val="32"/>
          <w:rtl/>
        </w:rPr>
        <w:t xml:space="preserve">מבוא</w:t>
      </w:r>
    </w:p>
    <w:p>
      <w:pPr>
        <w:bidi/>
        <w:spacing w:after="120" w:line="360"/>
        <w:ind w:firstLine="0"/>
        <w:jc w:val="both"/>
      </w:pPr>
      <w:r>
        <w:rPr>
          <w:rFonts w:ascii="Times New Roman" w:cs="David" w:eastAsia="David" w:hAnsi="Times New Roman"/>
          <w:sz w:val="24"/>
          <w:szCs w:val="24"/>
          <w:rtl/>
        </w:rPr>
        <w:t xml:space="preserve">בשנת 2015 החלה משטרת ישראל ביישום תוכנית רפורמה ארגונית בשם אמו"ן, בהובלת המפכ"ל רוני אלשיך. התוכנית הוצגה כתפיסת עולם חדשה ביחס ליעדי המשטרה ולדרכי פעולתה, והיא ביקשה להטמיע שיטות שיטור מודרניות ויזומות במקום שיטור שמגיב לאירועים אחרי שהתרחשו.</w:t>
      </w:r>
      <w:r>
        <w:rPr>
          <w:rStyle w:val="FootnoteReference"/>
        </w:rPr>
        <w:footnoteReference w:id="1"/>
      </w:r>
      <w:r>
        <w:rPr>
          <w:rFonts w:ascii="Times New Roman" w:cs="David" w:eastAsia="David" w:hAnsi="Times New Roman"/>
          <w:sz w:val="24"/>
          <w:szCs w:val="24"/>
          <w:rtl/>
        </w:rPr>
        <w:t xml:space="preserve"> בערך באותן שנים הלכה והחריפה האלימות בחברה הערבית בישראל. שיעור מקרי הרצח בקרב האוכלוסייה הלא יהודית עלה בחדות, ונשק בלתי חוקי הפך לגורם מרכזי שמאפשר את התפשטות האלימות.</w:t>
      </w:r>
      <w:r>
        <w:rPr>
          <w:rStyle w:val="FootnoteReference"/>
        </w:rPr>
        <w:footnoteReference w:id="2"/>
      </w:r>
      <w:r>
        <w:rPr>
          <w:rFonts w:ascii="Times New Roman" w:cs="David" w:eastAsia="David" w:hAnsi="Times New Roman"/>
          <w:sz w:val="24"/>
          <w:szCs w:val="24"/>
          <w:rtl/>
        </w:rPr>
        <w:t xml:space="preserve"> שני התהליכים נפגשים בשאלה שעומדת במרכז העבודה: האם רפורמה שנועדה להפוך את המשטרה לאפקטיבית יותר יכולה להצליח בחברה שבה המשטרה סובלת מאמון נמוך, ובייחוד בקרב צעירים בני 18 עד 24, שהם גם הקבוצה החשופה ביותר לאלימות וגם הקבוצה שפוגשת את המשטרה בתדירות הגבוהה ביותר.</w:t>
      </w:r>
    </w:p>
    <w:p>
      <w:pPr>
        <w:bidi/>
        <w:spacing w:after="120" w:line="360"/>
        <w:ind w:firstLine="0"/>
        <w:jc w:val="both"/>
      </w:pPr>
      <w:r>
        <w:rPr>
          <w:rFonts w:ascii="Times New Roman" w:cs="David" w:eastAsia="David" w:hAnsi="Times New Roman"/>
          <w:sz w:val="24"/>
          <w:szCs w:val="24"/>
          <w:rtl/>
        </w:rPr>
        <w:t xml:space="preserve">העבודה טוענת שהתשובה תלויה פחות בהיקף הכוח שהמשטרה מפעילה ויותר בדרך שבה שיקול הדעת שלה מובנה ומפוקח. שני כשלים מאיימים על כל רפורמה שיטורית בחברה הערבית. הכשל האחד הוא שיטור חסר: אירועי ירי שאינם מפוענחים, תלונות שאינן מבוררות ונוכחות משטרתית שאינה מתורגמת להגנה. הכשל השני הוא שיטור יתר: חיפושים, עיכובים ומבצעים גורפים שנשענים על זהות קבוצתית במקום על חשד קונקרטי. העבודה מבקשת להראות ששני הכשלים אינם קצוות של סקאלה אלא תוצאות של אותו פגם, אכיפה שאינה נשענת על מידע, ושהמנגנון שמחבר ביניהם הוא אמון הציבור. משטרה שאינה זוכה לאמון אינה מקבלת מידע, ומשטרה שאינה מקבלת מידע נוטה לפצות על כך באכיפה רחבה, שמעמיקה את חוסר האמון.</w:t>
      </w:r>
    </w:p>
    <w:p>
      <w:pPr>
        <w:bidi/>
        <w:spacing w:after="120" w:line="360"/>
        <w:ind w:firstLine="0"/>
        <w:jc w:val="both"/>
      </w:pPr>
      <w:r>
        <w:rPr>
          <w:rFonts w:ascii="Times New Roman" w:cs="David" w:eastAsia="David" w:hAnsi="Times New Roman"/>
          <w:sz w:val="24"/>
          <w:szCs w:val="24"/>
          <w:rtl/>
        </w:rPr>
        <w:t xml:space="preserve">לעבודה מגבלה מתודולוגית שחשוב להציג כבר בפתחה. החומר שנאסף אינו כולל נתונים אמפיריים מפולחים על השפעת אמו"ן על שיעורי העבריינות, על היקף האכיפה או על רמות האמון בקרב צעירים ערבים בני 18 עד 24. חסרים בו נתוני בסיס, קבוצת השוואה ומדדים של חשיפה לרפורמה. לכן העבודה אינה מכריעה אם הרפורמה הצליחה. היא מציעה מסגרת משפטית ונורמטיבית לבחינת הצלחתה, ומראה אילו תנאים משפטיים צריכים להתקיים כדי שרפורמה כזו תהיה גם אפקטיבית וגם לגיטימית. יש לזכור גם שנתוני פשיעה משקפים במידה רבה את היקף הפעילות המשטרתית: עלייה במספר התיקים אחרי מבצע אכיפה אינה מוכיחה עלייה בעבריינות, וירידה במספר התלונות יכולה לשקף ירידה באמון ולא ירידה בפשיעה.</w:t>
      </w:r>
      <w:r>
        <w:rPr>
          <w:rStyle w:val="FootnoteReference"/>
        </w:rPr>
        <w:footnoteReference w:id="3"/>
      </w:r>
    </w:p>
    <w:p>
      <w:pPr>
        <w:bidi/>
        <w:spacing w:after="120" w:line="360"/>
        <w:ind w:firstLine="0"/>
        <w:jc w:val="both"/>
      </w:pPr>
      <w:r>
        <w:rPr>
          <w:rFonts w:ascii="Times New Roman" w:cs="David" w:eastAsia="David" w:hAnsi="Times New Roman"/>
          <w:sz w:val="24"/>
          <w:szCs w:val="24"/>
          <w:rtl/>
        </w:rPr>
        <w:t xml:space="preserve">העבודה בנויה כך. הפרק הראשון מציג מסגרת מושגית של אפקטיביות, לגיטימציה ושיקול דעת משטרתי. הפרק השני בוחן את הבניית שיקול הדעת המשטרתי בארצות הברית ובבריטניה, ומה ניתן ללמוד משם. הפרק השלישי עוסק ברפורמת אמו"ן עצמה ובמסגרת המשפטית שבתוכה היא פועלת. הפרק הרביעי מתמקד בחברה הערבית: בנשק הבלתי חוקי, בירי ובמתח שבין שיטור חסר לשיטור יתר. הפרק החמישי בוחן את מנגנוני האחריותיות, ובהם דיני הנזיקין, הביקורת השיפוטית והשקיפות. הסיכום מציע המלצות מעשיות.</w:t>
      </w:r>
    </w:p>
    <w:p>
      <w:pPr>
        <w:pStyle w:val="Heading1"/>
        <w:pageBreakBefore/>
        <w:bidi/>
        <w:spacing w:after="160" w:before="240"/>
        <w:jc w:val="center"/>
      </w:pPr>
      <w:r>
        <w:rPr>
          <w:rFonts w:ascii="Times New Roman" w:cs="David" w:eastAsia="David" w:hAnsi="Times New Roman"/>
          <w:b/>
          <w:bCs/>
          <w:sz w:val="32"/>
          <w:szCs w:val="32"/>
          <w:rtl/>
        </w:rPr>
        <w:t xml:space="preserve">פרק א: אפקטיביות, לגיטימציה ושיקול דעת בשיטור</w:t>
      </w:r>
    </w:p>
    <w:p>
      <w:pPr>
        <w:pStyle w:val="Heading2"/>
        <w:bidi/>
        <w:spacing w:after="160" w:before="240"/>
        <w:jc w:val="right"/>
      </w:pPr>
      <w:r>
        <w:rPr>
          <w:rFonts w:ascii="Times New Roman" w:cs="David" w:eastAsia="David" w:hAnsi="Times New Roman"/>
          <w:b/>
          <w:bCs/>
          <w:sz w:val="28"/>
          <w:szCs w:val="28"/>
          <w:rtl/>
        </w:rPr>
        <w:t xml:space="preserve">1. מהי אפקטיביות משטרתית</w:t>
      </w:r>
    </w:p>
    <w:p>
      <w:pPr>
        <w:bidi/>
        <w:spacing w:after="120" w:line="360"/>
        <w:ind w:firstLine="0"/>
        <w:jc w:val="both"/>
      </w:pPr>
      <w:r>
        <w:rPr>
          <w:rFonts w:ascii="Times New Roman" w:cs="David" w:eastAsia="David" w:hAnsi="Times New Roman"/>
          <w:sz w:val="24"/>
          <w:szCs w:val="24"/>
          <w:rtl/>
        </w:rPr>
        <w:t xml:space="preserve">השאלה מתי משטרה אפקטיבית נשמעת פשוטה, אבל יש לה שתי תשובות שונות. התשובה המקובלת מודדת תוצאות: מספר מעצרים, מספר כתבי אישום ושיעור פענוח. התשובה השנייה מודדת את היכולת להפחית פשיעה, אי-סדר ופחד מפשיעה. וייסבורד ואק סוקרים את מודל השיטור הסטנדרטי, שמבוסס על פיזור אחיד של משאבים, סיור, מענה לקריאות וחקירה בדיעבד, ומגיעים למסקנה שיש מעט ראיות לכך שהוא מפחית פשיעה, אי-סדר או פחד מפשיעה.</w:t>
      </w:r>
      <w:r>
        <w:rPr>
          <w:rStyle w:val="FootnoteReference"/>
        </w:rPr>
        <w:footnoteReference w:id="4"/>
      </w:r>
      <w:r>
        <w:rPr>
          <w:rFonts w:ascii="Times New Roman" w:cs="David" w:eastAsia="David" w:hAnsi="Times New Roman"/>
          <w:sz w:val="24"/>
          <w:szCs w:val="24"/>
          <w:rtl/>
        </w:rPr>
        <w:t xml:space="preserve"> לעומתו, מודל השיטור הקהילתי נשען על מעורבות של הקהילה בהגדרת הבעיות ובפתרונן, ומשתמש במשאבי הציבור לצד משאבי המשטרה.</w:t>
      </w:r>
      <w:r>
        <w:rPr>
          <w:rStyle w:val="FootnoteReference"/>
        </w:rPr>
        <w:footnoteReference w:id="5"/>
      </w:r>
    </w:p>
    <w:p>
      <w:pPr>
        <w:bidi/>
        <w:spacing w:after="120" w:line="360"/>
        <w:ind w:firstLine="0"/>
        <w:jc w:val="both"/>
      </w:pPr>
      <w:r>
        <w:rPr>
          <w:rFonts w:ascii="Times New Roman" w:cs="David" w:eastAsia="David" w:hAnsi="Times New Roman"/>
          <w:sz w:val="24"/>
          <w:szCs w:val="24"/>
          <w:rtl/>
        </w:rPr>
        <w:t xml:space="preserve">ההבחנה הזו חשובה לבחינת אמו"ן, משום שרפורמה שמוגדרת כמעבר לשיטור יזום יכולה להתפרש בשתי דרכים. היא יכולה להתפרש כמיקוד של משאבים בבעיות, במוקדים ובתופעות, בשיתוף הקהילה. היא יכולה גם להתפרש כהגברה של פעולות אכיפה, כמו חיפושים ועיכובים, באזורים שמסומנים כבעייתיים. הפרשנות הראשונה עשויה לחזק את האמון. הפרשנות השנייה עלולה לשחוק אותו.</w:t>
      </w:r>
    </w:p>
    <w:p>
      <w:pPr>
        <w:bidi/>
        <w:spacing w:after="120" w:line="360"/>
        <w:ind w:firstLine="0"/>
        <w:jc w:val="both"/>
      </w:pPr>
      <w:r>
        <w:rPr>
          <w:rFonts w:ascii="Times New Roman" w:cs="David" w:eastAsia="David" w:hAnsi="Times New Roman"/>
          <w:sz w:val="24"/>
          <w:szCs w:val="24"/>
          <w:rtl/>
        </w:rPr>
        <w:t xml:space="preserve">הפסיקה הישראלית מבטאת את אותה הבחנה במונחים משפטיים. בית המשפט העליון קבע שהמשטרה רשאית לקבוע דרכי פעולה וסדרי עדיפויות לפי מומחיותה, המידע שבידיה והמשאבים העומדים לרשותה, אך עליה להצביע על דרך פעולה סבירה, ובית המשפט יתערב כשיש סטייה ממשית ממנה.</w:t>
      </w:r>
      <w:r>
        <w:rPr>
          <w:rStyle w:val="FootnoteReference"/>
        </w:rPr>
        <w:footnoteReference w:id="6"/>
      </w:r>
      <w:r>
        <w:rPr>
          <w:rFonts w:ascii="Times New Roman" w:cs="David" w:eastAsia="David" w:hAnsi="Times New Roman"/>
          <w:sz w:val="24"/>
          <w:szCs w:val="24"/>
          <w:rtl/>
        </w:rPr>
        <w:t xml:space="preserve"> בפרשה אחרת נקבע שמגבלות המשאבים אינן מחייבות אכיפה מלאה בכל מקום ובכל זמן, אבל סדרי העדיפויות חייבים להישאר בתוך מתחם הסבירות, ואסור שיתמקדו באופן שרירותי בחלק מקבוצת השוויון.</w:t>
      </w:r>
      <w:r>
        <w:rPr>
          <w:rStyle w:val="FootnoteReference"/>
        </w:rPr>
        <w:footnoteReference w:id="7"/>
      </w:r>
      <w:r>
        <w:rPr>
          <w:rFonts w:ascii="Times New Roman" w:cs="David" w:eastAsia="David" w:hAnsi="Times New Roman"/>
          <w:sz w:val="24"/>
          <w:szCs w:val="24"/>
          <w:rtl/>
        </w:rPr>
        <w:t xml:space="preserve"> אפקטיביות, במובן המשפטי, אינה מקור סמכות עצמאי. בית המשפט חזר על כך שכאשר פעולה כופה פוגעת בזכות מוגנת, נדרשת הסמכה מפורשת בחוק, ותועלת מבצעית אינה מחליפה אותה.</w:t>
      </w:r>
      <w:r>
        <w:rPr>
          <w:rStyle w:val="FootnoteReference"/>
        </w:rPr>
        <w:footnoteReference w:id="8"/>
      </w:r>
    </w:p>
    <w:p>
      <w:pPr>
        <w:pStyle w:val="Heading2"/>
        <w:bidi/>
        <w:spacing w:after="160" w:before="240"/>
        <w:jc w:val="right"/>
      </w:pPr>
      <w:r>
        <w:rPr>
          <w:rFonts w:ascii="Times New Roman" w:cs="David" w:eastAsia="David" w:hAnsi="Times New Roman"/>
          <w:b/>
          <w:bCs/>
          <w:sz w:val="28"/>
          <w:szCs w:val="28"/>
          <w:rtl/>
        </w:rPr>
        <w:t xml:space="preserve">2. לגיטימציה וצדק פרוצדורלי</w:t>
      </w:r>
    </w:p>
    <w:p>
      <w:pPr>
        <w:bidi/>
        <w:spacing w:after="120" w:line="360"/>
        <w:ind w:firstLine="0"/>
        <w:jc w:val="both"/>
      </w:pPr>
      <w:r>
        <w:rPr>
          <w:rFonts w:ascii="Times New Roman" w:cs="David" w:eastAsia="David" w:hAnsi="Times New Roman"/>
          <w:sz w:val="24"/>
          <w:szCs w:val="24"/>
          <w:rtl/>
        </w:rPr>
        <w:t xml:space="preserve">הממד השני של שיטור מוצלח הוא הלגיטימציה שלו בעיני הציבור. הספרות האמפירית על צדק פרוצדורלי, שהפורום של המרצות והמרצים למשפטים למען הדמוקרטיה נשען עליה, מראה שמידת האמון בלגיטימיות של מערכת האכיפה משפיעה על נכונותם של אזרחים לציית לחוק ולסייע למשטרה נגד פשיעה בקהילה שלהם. הלגיטימיות עצמה נבנית בעיקר מההערכה של הגינות תהליך קבלת ההחלטות, ולא רק מתוצאות האכיפה.</w:t>
      </w:r>
      <w:r>
        <w:rPr>
          <w:rStyle w:val="FootnoteReference"/>
        </w:rPr>
        <w:footnoteReference w:id="9"/>
      </w:r>
      <w:r>
        <w:rPr>
          <w:rFonts w:ascii="Times New Roman" w:cs="David" w:eastAsia="David" w:hAnsi="Times New Roman"/>
          <w:sz w:val="24"/>
          <w:szCs w:val="24"/>
          <w:rtl/>
        </w:rPr>
        <w:t xml:space="preserve"> מכאן נגזר מעגל: גוף שיטור שחסרה לו לגיטימציה, במיוחד בקהילות חלשות, לא יזכה לסיוע ואולי אף יזכה להתנגדות, וההתנגדות עלולה להוביל לשימוש בכוח רב עוד יותר.</w:t>
      </w:r>
      <w:r>
        <w:rPr>
          <w:rStyle w:val="FootnoteReference"/>
        </w:rPr>
        <w:footnoteReference w:id="10"/>
      </w:r>
      <w:r>
        <w:rPr>
          <w:rFonts w:ascii="Times New Roman" w:cs="David" w:eastAsia="David" w:hAnsi="Times New Roman"/>
          <w:sz w:val="24"/>
          <w:szCs w:val="24"/>
          <w:rtl/>
        </w:rPr>
        <w:t xml:space="preserve"> בישראל נמדד אמון נמוך במשטרה דווקא בקרב האוכלוסייה הערבית ויוצאי אתיופיה.</w:t>
      </w:r>
      <w:r>
        <w:rPr>
          <w:rStyle w:val="FootnoteReference"/>
        </w:rPr>
        <w:footnoteReference w:id="11"/>
      </w:r>
    </w:p>
    <w:p>
      <w:pPr>
        <w:bidi/>
        <w:spacing w:after="120" w:line="360"/>
        <w:ind w:firstLine="0"/>
        <w:jc w:val="both"/>
      </w:pPr>
      <w:r>
        <w:rPr>
          <w:rFonts w:ascii="Times New Roman" w:cs="David" w:eastAsia="David" w:hAnsi="Times New Roman"/>
          <w:sz w:val="24"/>
          <w:szCs w:val="24"/>
          <w:rtl/>
        </w:rPr>
        <w:t xml:space="preserve">הפסיקה הישראלית הגיעה לאותה מסקנה מכיוון אחר. בעניין סויסא קבע בית המשפט שהשוטר הוא נאמן הציבור, וכי "בלא יחסי אמון בין המשטרה לבין הקהילייה שהיא משרתת, לא תוכל המשטרה לקיים את משימותיה".</w:t>
      </w:r>
      <w:r>
        <w:rPr>
          <w:rStyle w:val="FootnoteReference"/>
        </w:rPr>
        <w:footnoteReference w:id="12"/>
      </w:r>
      <w:r>
        <w:rPr>
          <w:rFonts w:ascii="Times New Roman" w:cs="David" w:eastAsia="David" w:hAnsi="Times New Roman"/>
          <w:sz w:val="24"/>
          <w:szCs w:val="24"/>
          <w:rtl/>
        </w:rPr>
        <w:t xml:space="preserve"> בית המשפט הוסיף שתדמית המשטרה נמדדת לפי הקונצנזוס של אנשים ישרים והגונים, בלי לשאוף למשטרה אוטופית ובלי להסתפק בסף הערכי של שולי החברה.</w:t>
      </w:r>
      <w:r>
        <w:rPr>
          <w:rStyle w:val="FootnoteReference"/>
        </w:rPr>
        <w:footnoteReference w:id="13"/>
      </w:r>
      <w:r>
        <w:rPr>
          <w:rFonts w:ascii="Times New Roman" w:cs="David" w:eastAsia="David" w:hAnsi="Times New Roman"/>
          <w:sz w:val="24"/>
          <w:szCs w:val="24"/>
          <w:rtl/>
        </w:rPr>
        <w:t xml:space="preserve"> בעניין מוסא גזר בית המשפט מדברים אלה חובה לפעול במסגרת החוק, בסבירות ובמידתיות, וקבע ש"אין למשטרה כוחות, אלא עד כמה שאלה הוענקו לה בחוק. החוק הוא הנותן את הכוח, ולא הכוח הוא הקובע את החוק".</w:t>
      </w:r>
      <w:r>
        <w:rPr>
          <w:rStyle w:val="FootnoteReference"/>
        </w:rPr>
        <w:footnoteReference w:id="14"/>
      </w:r>
      <w:r>
        <w:rPr>
          <w:rFonts w:ascii="Times New Roman" w:cs="David" w:eastAsia="David" w:hAnsi="Times New Roman"/>
          <w:sz w:val="24"/>
          <w:szCs w:val="24"/>
          <w:rtl/>
        </w:rPr>
        <w:t xml:space="preserve"> בעניין אלחננוב פורק האמון לשני נדבכים, כושר מקצועי ועוצמה מוסרית, ובית המשפט קבע סדר עדיפות ביניהם: אמון הציבור במשטרה מותנה "לא רק ביעילותה המקצועית, אלא בראש וראשונה באמינותה".</w:t>
      </w:r>
      <w:r>
        <w:rPr>
          <w:rStyle w:val="FootnoteReference"/>
        </w:rPr>
        <w:footnoteReference w:id="15"/>
      </w:r>
    </w:p>
    <w:p>
      <w:pPr>
        <w:bidi/>
        <w:spacing w:after="120" w:line="360"/>
        <w:ind w:firstLine="0"/>
        <w:jc w:val="both"/>
      </w:pPr>
      <w:r>
        <w:rPr>
          <w:rFonts w:ascii="Times New Roman" w:cs="David" w:eastAsia="David" w:hAnsi="Times New Roman"/>
          <w:sz w:val="24"/>
          <w:szCs w:val="24"/>
          <w:rtl/>
        </w:rPr>
        <w:t xml:space="preserve">ההבחנה של סויסא בין "אנשים ישרים והגונים" לבין "שולי החברה" מעוררת שאלה שהפסיקה לא נדרשה לה: הקונצנזוס של מי. נייר העמדה של הפורום מציע תשובה. אחריותיות של המשטרה כלפי הציבור אינה יכולה להיות אחריותיות כלפי הרוב בלבד. הקהילות המוחלשות פוגשות במשטרה יותר מאחרות, ולכן שיטור דמוקרטי דורש רגישות מיוחדת לאינטרסים שלהן, ושיקולי צדק והטיפול במיעוטים צריכים לקבל עדיפות על פני הרצון להיענות להעדפות הרוב.</w:t>
      </w:r>
      <w:r>
        <w:rPr>
          <w:rStyle w:val="FootnoteReference"/>
        </w:rPr>
        <w:footnoteReference w:id="16"/>
      </w:r>
      <w:r>
        <w:rPr>
          <w:rFonts w:ascii="Times New Roman" w:cs="David" w:eastAsia="David" w:hAnsi="Times New Roman"/>
          <w:sz w:val="24"/>
          <w:szCs w:val="24"/>
          <w:rtl/>
        </w:rPr>
        <w:t xml:space="preserve"> לענייננו, המשמעות היא שהלגיטימיות של אמו"ן אינה נמדדת רק בעיני הציבור הכללי, אלא בעיקר בעיני האוכלוסייה שבה הרפורמה מופעלת.</w:t>
      </w:r>
    </w:p>
    <w:p>
      <w:pPr>
        <w:pStyle w:val="Heading2"/>
        <w:bidi/>
        <w:spacing w:after="160" w:before="240"/>
        <w:jc w:val="right"/>
      </w:pPr>
      <w:r>
        <w:rPr>
          <w:rFonts w:ascii="Times New Roman" w:cs="David" w:eastAsia="David" w:hAnsi="Times New Roman"/>
          <w:b/>
          <w:bCs/>
          <w:sz w:val="28"/>
          <w:szCs w:val="28"/>
          <w:rtl/>
        </w:rPr>
        <w:t xml:space="preserve">3. שיקול דעת משטרתי והבנייתו</w:t>
      </w:r>
    </w:p>
    <w:p>
      <w:pPr>
        <w:bidi/>
        <w:spacing w:after="120" w:line="360"/>
        <w:ind w:firstLine="0"/>
        <w:jc w:val="both"/>
      </w:pPr>
      <w:r>
        <w:rPr>
          <w:rFonts w:ascii="Times New Roman" w:cs="David" w:eastAsia="David" w:hAnsi="Times New Roman"/>
          <w:sz w:val="24"/>
          <w:szCs w:val="24"/>
          <w:rtl/>
        </w:rPr>
        <w:t xml:space="preserve">שיקול דעת רחב הוא תנאי לעבודת המשטרה. הרדוף מדגיש שהמשטרה והתביעה הן השחקניות החזקות ביותר של המשפט הפלילי, עם שיקול הדעת הרחב ביותר: הן מחליטות אילו איסורים לאכוף, מה ומתי לאכוף, את מי להעמיד לדין ובאילו עובדות להסתפק, ודווקא על שיקול דעת רחב כזה הביקורת השיפוטית מצומצמת.</w:t>
      </w:r>
      <w:r>
        <w:rPr>
          <w:rStyle w:val="FootnoteReference"/>
        </w:rPr>
        <w:footnoteReference w:id="17"/>
      </w:r>
      <w:r>
        <w:rPr>
          <w:rFonts w:ascii="Times New Roman" w:cs="David" w:eastAsia="David" w:hAnsi="Times New Roman"/>
          <w:sz w:val="24"/>
          <w:szCs w:val="24"/>
          <w:rtl/>
        </w:rPr>
        <w:t xml:space="preserve"> הוא אינו מציע לשלול מהמשטרה את כוחה אלא להוסיף עליו בקרה: "כוח ללא בקרה הינו פתח לטעות, להטייה ולניצול לרעה, בין שהוא בידי שוטר, בין שהוא בידי תובע ובין שהוא בידי שופט", והבקרה "אינה מעלימה את הכוח, אלא אך מצמצמת את הסיכוי לשימוש לא ראוי ולא מוצלח בו".</w:t>
      </w:r>
      <w:r>
        <w:rPr>
          <w:rStyle w:val="FootnoteReference"/>
        </w:rPr>
        <w:footnoteReference w:id="18"/>
      </w:r>
    </w:p>
    <w:p>
      <w:pPr>
        <w:bidi/>
        <w:spacing w:after="120" w:line="360"/>
        <w:ind w:firstLine="0"/>
        <w:jc w:val="both"/>
      </w:pPr>
      <w:r>
        <w:rPr>
          <w:rFonts w:ascii="Times New Roman" w:cs="David" w:eastAsia="David" w:hAnsi="Times New Roman"/>
          <w:sz w:val="24"/>
          <w:szCs w:val="24"/>
          <w:rtl/>
        </w:rPr>
        <w:t xml:space="preserve">נקודת המוצא המשפטית היא שכוח האכיפה מוגבל מעצם הגדרתו. בעניין המרכז האקדמי תיארה השופטת פרוקצ'יה את כוח האכיפה בהליך הפלילי ככוח "המתוחם להשגת תכלית האכיפה ולא מעבר לה", שכל שימוש בו מוגבל לצורכי החקירה החיוניים. בית המשפט הוסיף שהגבלת הכוח השלטוני נועדה להגן גם על מעמדו של המיעוט ביחס לרוב שבשלטון.</w:t>
      </w:r>
      <w:r>
        <w:rPr>
          <w:rStyle w:val="FootnoteReference"/>
        </w:rPr>
        <w:footnoteReference w:id="19"/>
      </w:r>
      <w:r>
        <w:rPr>
          <w:rFonts w:ascii="Times New Roman" w:cs="David" w:eastAsia="David" w:hAnsi="Times New Roman"/>
          <w:sz w:val="24"/>
          <w:szCs w:val="24"/>
          <w:rtl/>
        </w:rPr>
        <w:t xml:space="preserve"> ההערה הזו מסבירה מדוע שיטור יתר כלפי קבוצת מיעוט הוא בעיה חוקתית ולא רק בעיה של אמון.</w:t>
      </w:r>
    </w:p>
    <w:p>
      <w:pPr>
        <w:bidi/>
        <w:spacing w:after="120" w:line="360"/>
        <w:ind w:firstLine="0"/>
        <w:jc w:val="both"/>
      </w:pPr>
      <w:r>
        <w:rPr>
          <w:rFonts w:ascii="Times New Roman" w:cs="David" w:eastAsia="David" w:hAnsi="Times New Roman"/>
          <w:sz w:val="24"/>
          <w:szCs w:val="24"/>
          <w:rtl/>
        </w:rPr>
        <w:t xml:space="preserve">דרומי מראה שבתחום שיטור ההפגנות, שבו המשטרה פועלת בשיקול דעת רחב במיוחד, הפעלת סמכות משטרתית בשיקול דעת רחב יוצרת "באופן מובנה" חשש מפגיעה בזכויות אדם. היכולת לקבוע כללים מוגדרים מראש היא חלקית בלבד, משום שהשוטר בשטח צריך מרחב פעולה, ולכן נדרשים כללי מסגרת ברורים לצד מרחב זה.</w:t>
      </w:r>
      <w:r>
        <w:rPr>
          <w:rStyle w:val="FootnoteReference"/>
        </w:rPr>
        <w:footnoteReference w:id="20"/>
      </w:r>
      <w:r>
        <w:rPr>
          <w:rFonts w:ascii="Times New Roman" w:cs="David" w:eastAsia="David" w:hAnsi="Times New Roman"/>
          <w:sz w:val="24"/>
          <w:szCs w:val="24"/>
          <w:rtl/>
        </w:rPr>
        <w:t xml:space="preserve"> בעניין טבקה, שנדון בהרחבה בפרק הרביעי, ביטל בית המשפט חלק מנוהל ההזדהות המשטרתי משום שבמקום שבו מתווה הפעלת הסמכות אינו מפורט די, "קיים חשש שהסמכות תופעל בשרירות ובאופן שיוביל לפגיעה בזכויות אדם".</w:t>
      </w:r>
      <w:r>
        <w:rPr>
          <w:rStyle w:val="FootnoteReference"/>
        </w:rPr>
        <w:footnoteReference w:id="21"/>
      </w:r>
      <w:r>
        <w:rPr>
          <w:rFonts w:ascii="Times New Roman" w:cs="David" w:eastAsia="David" w:hAnsi="Times New Roman"/>
          <w:sz w:val="24"/>
          <w:szCs w:val="24"/>
          <w:rtl/>
        </w:rPr>
        <w:t xml:space="preserve"> הבניית שיקול הדעת, אם כן, אינה בהכרח צמצום של כוח המשטרה. היא דרך להבטיח שהכוח יופעל על בסיס קריטריונים גלויים, שהאזרח יכול להבין והשופט יכול לבקר.</w:t>
      </w:r>
    </w:p>
    <w:p>
      <w:pPr>
        <w:pStyle w:val="Heading1"/>
        <w:pageBreakBefore/>
        <w:bidi/>
        <w:spacing w:after="160" w:before="240"/>
        <w:jc w:val="center"/>
      </w:pPr>
      <w:r>
        <w:rPr>
          <w:rFonts w:ascii="Times New Roman" w:cs="David" w:eastAsia="David" w:hAnsi="Times New Roman"/>
          <w:b/>
          <w:bCs/>
          <w:sz w:val="32"/>
          <w:szCs w:val="32"/>
          <w:rtl/>
        </w:rPr>
        <w:t xml:space="preserve">פרק ב: הבניית שיקול הדעת המשטרתי בארצות הברית ובבריטניה</w:t>
      </w:r>
    </w:p>
    <w:p>
      <w:pPr>
        <w:pStyle w:val="Heading2"/>
        <w:bidi/>
        <w:spacing w:after="160" w:before="240"/>
        <w:jc w:val="right"/>
      </w:pPr>
      <w:r>
        <w:rPr>
          <w:rFonts w:ascii="Times New Roman" w:cs="David" w:eastAsia="David" w:hAnsi="Times New Roman"/>
          <w:b/>
          <w:bCs/>
          <w:sz w:val="28"/>
          <w:szCs w:val="28"/>
          <w:rtl/>
        </w:rPr>
        <w:t xml:space="preserve">1. משטרה מקצועית ומרוחקת: הרקע ההיסטורי</w:t>
      </w:r>
    </w:p>
    <w:p>
      <w:pPr>
        <w:bidi/>
        <w:spacing w:after="120" w:line="360"/>
        <w:ind w:firstLine="0"/>
        <w:jc w:val="both"/>
      </w:pPr>
      <w:r>
        <w:rPr>
          <w:rFonts w:ascii="Times New Roman" w:cs="David" w:eastAsia="David" w:hAnsi="Times New Roman"/>
          <w:sz w:val="24"/>
          <w:szCs w:val="24"/>
          <w:rtl/>
        </w:rPr>
        <w:t xml:space="preserve">המרחק בין המשטרה לקהילה, שהשיטור הקהילתי מנסה לגשר עליו, נוצר במידה רבה בכוונה. המשטרה המודרנית הוקמה בבריטניה בשנת 1829 ובארצות הברית בשנת 1838, כמנגנון להבטחת סדר ציבורי, שקט תעשייתי והגנה על מנגנוני הייצור. רפורמות ההתמקצעות שהונהגו במשטרות אלה בסוף המאה ה-19 ובראשית המאה ה-20 נועדו לתקוע טריז בין השוטרים לבין מושאי השיטור וליצור משטרה מקצועית ויעילה, "נעדרת קשרים אישיים עם הקהילה". במסגרתן גויסו שוטרים חדשים למשטרות לונדון וניו יורק מחוץ לעיר, כדי להרחיק אותם ממעמד הפועלים העירוני שעליו פיקחו.</w:t>
      </w:r>
      <w:r>
        <w:rPr>
          <w:rStyle w:val="FootnoteReference"/>
        </w:rPr>
        <w:footnoteReference w:id="22"/>
      </w:r>
    </w:p>
    <w:p>
      <w:pPr>
        <w:bidi/>
        <w:spacing w:after="120" w:line="360"/>
        <w:ind w:firstLine="0"/>
        <w:jc w:val="both"/>
      </w:pPr>
      <w:r>
        <w:rPr>
          <w:rFonts w:ascii="Times New Roman" w:cs="David" w:eastAsia="David" w:hAnsi="Times New Roman"/>
          <w:sz w:val="24"/>
          <w:szCs w:val="24"/>
          <w:rtl/>
        </w:rPr>
        <w:t xml:space="preserve">הריחוק הזה לא נעלם גם כשהשוטרים התארגנו. מחקר על ארגוני שוטרים בפילדלפיה, בבולטימור ובבאפלו מצא שהארגונים השקיעו מאמצים רבים במניעת פיקוח ובקרה יעילים על עבודת השוטרים, ושהדבר הגביר את ניכור הציבור כלפי המשטרה.</w:t>
      </w:r>
      <w:r>
        <w:rPr>
          <w:rStyle w:val="FootnoteReference"/>
        </w:rPr>
        <w:footnoteReference w:id="23"/>
      </w:r>
      <w:r>
        <w:rPr>
          <w:rFonts w:ascii="Times New Roman" w:cs="David" w:eastAsia="David" w:hAnsi="Times New Roman"/>
          <w:sz w:val="24"/>
          <w:szCs w:val="24"/>
          <w:rtl/>
        </w:rPr>
        <w:t xml:space="preserve"> מחקרים אחרים הצביעו על החשש מ"חומת השתיקה הכחולה", כלומר מחיפוי הדדי על שוטרים שסרחו.</w:t>
      </w:r>
      <w:r>
        <w:rPr>
          <w:rStyle w:val="FootnoteReference"/>
        </w:rPr>
        <w:footnoteReference w:id="24"/>
      </w:r>
      <w:r>
        <w:rPr>
          <w:rFonts w:ascii="Times New Roman" w:cs="David" w:eastAsia="David" w:hAnsi="Times New Roman"/>
          <w:sz w:val="24"/>
          <w:szCs w:val="24"/>
          <w:rtl/>
        </w:rPr>
        <w:t xml:space="preserve"> הלקח לרפורמה ישראלית אינו שהתמקצעות מזיקה. הלקח הוא שהתמקצעות בלי ערוצי קשר עם הקהילה ובלי מנגנוני בקרה יוצרת משטרה יעילה בעיני עצמה ומנוכרת בעיני הציבור.</w:t>
      </w:r>
    </w:p>
    <w:p>
      <w:pPr>
        <w:pStyle w:val="Heading2"/>
        <w:bidi/>
        <w:spacing w:after="160" w:before="240"/>
        <w:jc w:val="right"/>
      </w:pPr>
      <w:r>
        <w:rPr>
          <w:rFonts w:ascii="Times New Roman" w:cs="David" w:eastAsia="David" w:hAnsi="Times New Roman"/>
          <w:b/>
          <w:bCs/>
          <w:sz w:val="28"/>
          <w:szCs w:val="28"/>
          <w:rtl/>
        </w:rPr>
        <w:t xml:space="preserve">2. המפגש בין שוטר לאזרח: כללים ברורים או סטנדרט של הוגנות</w:t>
      </w:r>
    </w:p>
    <w:p>
      <w:pPr>
        <w:bidi/>
        <w:spacing w:after="120" w:line="360"/>
        <w:ind w:firstLine="0"/>
        <w:jc w:val="both"/>
      </w:pPr>
      <w:r>
        <w:rPr>
          <w:rFonts w:ascii="Times New Roman" w:cs="David" w:eastAsia="David" w:hAnsi="Times New Roman"/>
          <w:sz w:val="24"/>
          <w:szCs w:val="24"/>
          <w:rtl/>
        </w:rPr>
        <w:t xml:space="preserve">שתי השיטות בחרו דרכים שונות להבניית שיקול הדעת במפגש שבין שוטר לאזרח. בארצות הברית, הדגש הוא על כללים פרוצדורליים ברורים. כללי מירנדה הם הדוגמה הבולטת: הם מגדירים מראש מה על החוקר לומר לחשוד, ולכן קל לחוקרים לציית להם וקל לבית המשפט לבדוק אם צייתו.</w:t>
      </w:r>
      <w:r>
        <w:rPr>
          <w:rStyle w:val="FootnoteReference"/>
        </w:rPr>
        <w:footnoteReference w:id="25"/>
      </w:r>
      <w:r>
        <w:rPr>
          <w:rFonts w:ascii="Times New Roman" w:cs="David" w:eastAsia="David" w:hAnsi="Times New Roman"/>
          <w:sz w:val="24"/>
          <w:szCs w:val="24"/>
          <w:rtl/>
        </w:rPr>
        <w:t xml:space="preserve"> באנגליה, סעיף 76 ל-</w:t>
      </w:r>
      <w:r>
        <w:rPr>
          <w:rFonts w:ascii="Times New Roman" w:cs="David" w:eastAsia="David" w:hAnsi="Times New Roman"/>
          <w:sz w:val="24"/>
          <w:szCs w:val="24"/>
          <w:rtl w:val="false"/>
        </w:rPr>
        <w:t xml:space="preserve">Police and Criminal Evidence Act 1984</w:t>
      </w:r>
      <w:r>
        <w:rPr>
          <w:rFonts w:ascii="Times New Roman" w:cs="David" w:eastAsia="David" w:hAnsi="Times New Roman"/>
          <w:sz w:val="24"/>
          <w:szCs w:val="24"/>
          <w:rtl/>
        </w:rPr>
        <w:t xml:space="preserve"> מתמקד בהוגנות החקירה, ומחייב לפסול הודאה שהושגה בדיכוי או בנסיבות שעלולות להפוך אותה לבלתי מהימנה.</w:t>
      </w:r>
      <w:r>
        <w:rPr>
          <w:rStyle w:val="FootnoteReference"/>
        </w:rPr>
        <w:footnoteReference w:id="26"/>
      </w:r>
      <w:r>
        <w:rPr>
          <w:rFonts w:ascii="Times New Roman" w:cs="David" w:eastAsia="David" w:hAnsi="Times New Roman"/>
          <w:sz w:val="24"/>
          <w:szCs w:val="24"/>
          <w:rtl/>
        </w:rPr>
        <w:t xml:space="preserve"> קיטאי סנג'רו מציינת שבית המשפט העליון בישראל עמד על הצורך בכללים להתנהלות בחקירה, אך הצעות החוק שעלו נותרו כלליות ואינן מבהירות לחוקרים אילו אמצעים אסורים. לדבריה, עדיף לקבוע כללי חקירה ברורים, שיביאו בחשבון את גילם של החשודים ואת מצבם הנפשי והשכלי.</w:t>
      </w:r>
      <w:r>
        <w:rPr>
          <w:rStyle w:val="FootnoteReference"/>
        </w:rPr>
        <w:footnoteReference w:id="27"/>
      </w:r>
    </w:p>
    <w:p>
      <w:pPr>
        <w:bidi/>
        <w:spacing w:after="120" w:line="360"/>
        <w:ind w:firstLine="0"/>
        <w:jc w:val="both"/>
      </w:pPr>
      <w:r>
        <w:rPr>
          <w:rFonts w:ascii="Times New Roman" w:cs="David" w:eastAsia="David" w:hAnsi="Times New Roman"/>
          <w:sz w:val="24"/>
          <w:szCs w:val="24"/>
          <w:rtl/>
        </w:rPr>
        <w:t xml:space="preserve">גם בשאלה מתי מותר לשוטר לפנות לאדם ולדרוש ממנו להזדהות, הדין האמריקאי והאנגלי צרים מהדין הישראלי. בעניין טבקה דחתה הנשיאה חיות את ההשוואה שהציעה המדינה למשפט המשווה, וקבעה שבארצות הברית, באנגליה ובקנדה הסמכות לדרוש הזדהות מותנית ככלל בחשד שהאדם מעורב בפעילות פלילית. בהיעדר חשד, השוטר רשאי לפנות לאדם, אך נדרשת הסכמתו החופשית. בעניין </w:t>
      </w:r>
      <w:r>
        <w:rPr>
          <w:rFonts w:ascii="Times New Roman" w:cs="David" w:eastAsia="David" w:hAnsi="Times New Roman"/>
          <w:sz w:val="24"/>
          <w:szCs w:val="24"/>
          <w:rtl w:val="false"/>
        </w:rPr>
        <w:t xml:space="preserve">Brown v. Texas</w:t>
      </w:r>
      <w:r>
        <w:rPr>
          <w:rFonts w:ascii="Times New Roman" w:cs="David" w:eastAsia="David" w:hAnsi="Times New Roman"/>
          <w:sz w:val="24"/>
          <w:szCs w:val="24"/>
          <w:rtl/>
        </w:rPr>
        <w:t xml:space="preserve"> נקבע שבהיעדר נסיבות אובייקטיביות וספציפיות שמקימות חשד סביר, אין להרשיע אדם בסירוב להזדהות, ובפסיקה מאוחרת יותר נקבע שפנייה של שוטר בלי חשד כפופה למבחן "חופשי לעזוב": האם אדם סביר היה מבין מתוך מכלול הנסיבות שהוא רשאי לסרב ולהמשיך בדרכו.</w:t>
      </w:r>
      <w:r>
        <w:rPr>
          <w:rStyle w:val="FootnoteReference"/>
        </w:rPr>
        <w:footnoteReference w:id="28"/>
      </w:r>
    </w:p>
    <w:p>
      <w:pPr>
        <w:pStyle w:val="Heading2"/>
        <w:bidi/>
        <w:spacing w:after="160" w:before="240"/>
        <w:jc w:val="right"/>
      </w:pPr>
      <w:r>
        <w:rPr>
          <w:rFonts w:ascii="Times New Roman" w:cs="David" w:eastAsia="David" w:hAnsi="Times New Roman"/>
          <w:b/>
          <w:bCs/>
          <w:sz w:val="28"/>
          <w:szCs w:val="28"/>
          <w:rtl/>
        </w:rPr>
        <w:t xml:space="preserve">3. אחריות נזיקית על שיטור חסר</w:t>
      </w:r>
    </w:p>
    <w:p>
      <w:pPr>
        <w:bidi/>
        <w:spacing w:after="120" w:line="360"/>
        <w:ind w:firstLine="0"/>
        <w:jc w:val="both"/>
      </w:pPr>
      <w:r>
        <w:rPr>
          <w:rFonts w:ascii="Times New Roman" w:cs="David" w:eastAsia="David" w:hAnsi="Times New Roman"/>
          <w:sz w:val="24"/>
          <w:szCs w:val="24"/>
          <w:rtl/>
        </w:rPr>
        <w:t xml:space="preserve">המשפט האנגלי והאמריקאי חולקים גישה מצמצמת לאחריות הנזיקית של המשטרה בגין אי-מניעת פשיעה. סגל מראה שבמשפט האנגלי שתי דוקטרינות, החובה הציבורית ודרישת הקרבה, מובילות בדרך כלל לשלילת אחריותן של רשויות ציבוריות. לפי דוקטרינת החובה הציבורית, סמכויות הרשות וחובותיה מופנות כלפי החברה כקולקטיב ולא כלפי הניזוק כאינדיבידואל, ולכן אין הן מקנות לו עילת תביעה.</w:t>
      </w:r>
      <w:r>
        <w:rPr>
          <w:rStyle w:val="FootnoteReference"/>
        </w:rPr>
        <w:footnoteReference w:id="29"/>
      </w:r>
      <w:r>
        <w:rPr>
          <w:rFonts w:ascii="Times New Roman" w:cs="David" w:eastAsia="David" w:hAnsi="Times New Roman"/>
          <w:sz w:val="24"/>
          <w:szCs w:val="24"/>
          <w:rtl/>
        </w:rPr>
        <w:t xml:space="preserve"> בניתוח של שלושים וחמישה פסקי דין אנגליים הוא מוצא שבקטגוריה של עיסוק בביטחון ובהצלה קיימת נטייה ברורה לשלול אחריות.</w:t>
      </w:r>
      <w:r>
        <w:rPr>
          <w:rStyle w:val="FootnoteReference"/>
        </w:rPr>
        <w:footnoteReference w:id="30"/>
      </w:r>
      <w:r>
        <w:rPr>
          <w:rFonts w:ascii="Times New Roman" w:cs="David" w:eastAsia="David" w:hAnsi="Times New Roman"/>
          <w:sz w:val="24"/>
          <w:szCs w:val="24"/>
          <w:rtl/>
        </w:rPr>
        <w:t xml:space="preserve"> בעניין </w:t>
      </w:r>
      <w:r>
        <w:rPr>
          <w:rFonts w:ascii="Times New Roman" w:cs="David" w:eastAsia="David" w:hAnsi="Times New Roman"/>
          <w:sz w:val="24"/>
          <w:szCs w:val="24"/>
          <w:rtl w:val="false"/>
        </w:rPr>
        <w:t xml:space="preserve">Hill</w:t>
      </w:r>
      <w:r>
        <w:rPr>
          <w:rFonts w:ascii="Times New Roman" w:cs="David" w:eastAsia="David" w:hAnsi="Times New Roman"/>
          <w:sz w:val="24"/>
          <w:szCs w:val="24"/>
          <w:rtl/>
        </w:rPr>
        <w:t xml:space="preserve"> נדחתה תביעה שעסקה בניהול רשלני של חקירת סדרת רציחות של נשים.</w:t>
      </w:r>
      <w:r>
        <w:rPr>
          <w:rStyle w:val="FootnoteReference"/>
        </w:rPr>
        <w:footnoteReference w:id="31"/>
      </w:r>
      <w:r>
        <w:rPr>
          <w:rFonts w:ascii="Times New Roman" w:cs="David" w:eastAsia="David" w:hAnsi="Times New Roman"/>
          <w:sz w:val="24"/>
          <w:szCs w:val="24"/>
          <w:rtl/>
        </w:rPr>
        <w:t xml:space="preserve"> גלעד מוסיף שבאנגליה ההגנה על שיקול הדעת השלטוני חלה במיוחד על החלטות "תקציביות", כלומר על הקצאת משאבים מוגבלים בין צרכים מתחרים, ושבתי המשפט האנגליים סירבו להכיר בקרבה בין משטרה שתפקידה למנוע עבירות לבין קורבנות פוטנציאליים של עבירות.</w:t>
      </w:r>
      <w:r>
        <w:rPr>
          <w:rStyle w:val="FootnoteReference"/>
        </w:rPr>
        <w:footnoteReference w:id="32"/>
      </w:r>
      <w:r>
        <w:rPr>
          <w:rFonts w:ascii="Times New Roman" w:cs="David" w:eastAsia="David" w:hAnsi="Times New Roman"/>
          <w:sz w:val="24"/>
          <w:szCs w:val="24"/>
          <w:rtl/>
        </w:rPr>
        <w:t xml:space="preserve"> הוא מסכם את השיקולים שמאחורי הגישה המצמצמת: חשש מפגיעה בהפרדת הרשויות, אי-כשירות מוסדית של בתי המשפט להכריע בשאלות של מדיניות, הרתעת יתר ועיוות שיקול הדעת השלטוני, ושיבוש פעילות הרשויות.</w:t>
      </w:r>
      <w:r>
        <w:rPr>
          <w:rStyle w:val="FootnoteReference"/>
        </w:rPr>
        <w:footnoteReference w:id="33"/>
      </w:r>
    </w:p>
    <w:p>
      <w:pPr>
        <w:bidi/>
        <w:spacing w:after="120" w:line="360"/>
        <w:ind w:firstLine="0"/>
        <w:jc w:val="both"/>
      </w:pPr>
      <w:r>
        <w:rPr>
          <w:rFonts w:ascii="Times New Roman" w:cs="David" w:eastAsia="David" w:hAnsi="Times New Roman"/>
          <w:sz w:val="24"/>
          <w:szCs w:val="24"/>
          <w:rtl/>
        </w:rPr>
        <w:t xml:space="preserve">ההבחנה בין מדיניות לביצוע ממחישה את הגבול. בעניין </w:t>
      </w:r>
      <w:r>
        <w:rPr>
          <w:rFonts w:ascii="Times New Roman" w:cs="David" w:eastAsia="David" w:hAnsi="Times New Roman"/>
          <w:sz w:val="24"/>
          <w:szCs w:val="24"/>
          <w:rtl w:val="false"/>
        </w:rPr>
        <w:t xml:space="preserve">Rigby</w:t>
      </w:r>
      <w:r>
        <w:rPr>
          <w:rFonts w:ascii="Times New Roman" w:cs="David" w:eastAsia="David" w:hAnsi="Times New Roman"/>
          <w:sz w:val="24"/>
          <w:szCs w:val="24"/>
          <w:rtl/>
        </w:rPr>
        <w:t xml:space="preserve"> ירתה המשטרה רימון גז לחנות כדי להשתלט על אדם שהתבצר בה, והחנות נשרפה. בית המשפט קבע שההחלטה לא להצטייד ברימוני גז מסוג אחר היא החלטת מדיניות, כלומר שיקול תקציבי, ואילו ההחלטה לירות בלי שרכב כיבוי נמצא במקום שייכת לתחום הביצוע.</w:t>
      </w:r>
      <w:r>
        <w:rPr>
          <w:rStyle w:val="FootnoteReference"/>
        </w:rPr>
        <w:footnoteReference w:id="34"/>
      </w:r>
      <w:r>
        <w:rPr>
          <w:rFonts w:ascii="Times New Roman" w:cs="David" w:eastAsia="David" w:hAnsi="Times New Roman"/>
          <w:sz w:val="24"/>
          <w:szCs w:val="24"/>
          <w:rtl/>
        </w:rPr>
        <w:t xml:space="preserve"> החריגים מלמדים מה נדרש כדי לפרוץ את הכלל. בעניין </w:t>
      </w:r>
      <w:r>
        <w:rPr>
          <w:rFonts w:ascii="Times New Roman" w:cs="David" w:eastAsia="David" w:hAnsi="Times New Roman"/>
          <w:sz w:val="24"/>
          <w:szCs w:val="24"/>
          <w:rtl w:val="false"/>
        </w:rPr>
        <w:t xml:space="preserve">Kirkham</w:t>
      </w:r>
      <w:r>
        <w:rPr>
          <w:rFonts w:ascii="Times New Roman" w:cs="David" w:eastAsia="David" w:hAnsi="Times New Roman"/>
          <w:sz w:val="24"/>
          <w:szCs w:val="24"/>
          <w:rtl/>
        </w:rPr>
        <w:t xml:space="preserve"> הוטלה אחריות על המשטרה, שלא העבירה לבית המעצר מידע על נטיות אובדניות של עצור שהתאבד בו, משום שבנסיבות העניין היא יצרה סיכון אקטיבי ולא הפעילה שיקול דעת רחב.</w:t>
      </w:r>
      <w:r>
        <w:rPr>
          <w:rStyle w:val="FootnoteReference"/>
        </w:rPr>
        <w:footnoteReference w:id="35"/>
      </w:r>
      <w:r>
        <w:rPr>
          <w:rFonts w:ascii="Times New Roman" w:cs="David" w:eastAsia="David" w:hAnsi="Times New Roman"/>
          <w:sz w:val="24"/>
          <w:szCs w:val="24"/>
          <w:rtl/>
        </w:rPr>
        <w:t xml:space="preserve"> האחריות נוצרת, אם כן, כשהמשטרה כבר מחזיקה באדם מסוים, ולא כשהיא אמורה להגן על ציבור רחב.</w:t>
      </w:r>
    </w:p>
    <w:p>
      <w:pPr>
        <w:bidi/>
        <w:spacing w:after="120" w:line="360"/>
        <w:ind w:firstLine="0"/>
        <w:jc w:val="both"/>
      </w:pPr>
      <w:r>
        <w:rPr>
          <w:rFonts w:ascii="Times New Roman" w:cs="David" w:eastAsia="David" w:hAnsi="Times New Roman"/>
          <w:sz w:val="24"/>
          <w:szCs w:val="24"/>
          <w:rtl/>
        </w:rPr>
        <w:t xml:space="preserve">בארצות הברית ההגבלה חריפה עוד יותר. חריג שיקול הדעת שולל אחריות גם כשהנזק נגרם מאי-הפעלה של שיקול דעת, כלומר ממחדלים של הרשות, וסגל מעריך שהביקורת השיפוטית על רשויות ציבוריות באמצעות דיני הנזיקין אינה בעלת אפקט משמעותי שם.</w:t>
      </w:r>
      <w:r>
        <w:rPr>
          <w:rStyle w:val="FootnoteReference"/>
        </w:rPr>
        <w:footnoteReference w:id="36"/>
      </w:r>
      <w:r>
        <w:rPr>
          <w:rFonts w:ascii="Times New Roman" w:cs="David" w:eastAsia="David" w:hAnsi="Times New Roman"/>
          <w:sz w:val="24"/>
          <w:szCs w:val="24"/>
          <w:rtl/>
        </w:rPr>
        <w:t xml:space="preserve"> גלעד מתאר דוקטרינה אמריקאית מקבילה של "חובה ציבורית", שלפיה חובה של רשות כלפי ציבור רחב ובלתי מסוים אינה יכולה לשמש מקור לאחריות כלפי אדם מסוים ("</w:t>
      </w:r>
      <w:r>
        <w:rPr>
          <w:rFonts w:ascii="Times New Roman" w:cs="David" w:eastAsia="David" w:hAnsi="Times New Roman"/>
          <w:sz w:val="24"/>
          <w:szCs w:val="24"/>
          <w:rtl w:val="false"/>
        </w:rPr>
        <w:t xml:space="preserve">duty to all is duty to none</w:t>
      </w:r>
      <w:r>
        <w:rPr>
          <w:rFonts w:ascii="Times New Roman" w:cs="David" w:eastAsia="David" w:hAnsi="Times New Roman"/>
          <w:sz w:val="24"/>
          <w:szCs w:val="24"/>
          <w:rtl/>
        </w:rPr>
        <w:t xml:space="preserve">"), והיא חלה במיוחד כשחיקוק מטיל על המשטרה חובה להגן על הציבור.</w:t>
      </w:r>
      <w:r>
        <w:rPr>
          <w:rStyle w:val="FootnoteReference"/>
        </w:rPr>
        <w:footnoteReference w:id="37"/>
      </w:r>
      <w:r>
        <w:rPr>
          <w:rFonts w:ascii="Times New Roman" w:cs="David" w:eastAsia="David" w:hAnsi="Times New Roman"/>
          <w:sz w:val="24"/>
          <w:szCs w:val="24"/>
          <w:rtl/>
        </w:rPr>
        <w:t xml:space="preserve"> טבלאות הפסיקה של סגל מראות איך זה נראה כשמדובר בקורבנות אלימות. בעניין </w:t>
      </w:r>
      <w:r>
        <w:rPr>
          <w:rFonts w:ascii="Times New Roman" w:cs="David" w:eastAsia="David" w:hAnsi="Times New Roman"/>
          <w:sz w:val="24"/>
          <w:szCs w:val="24"/>
          <w:rtl w:val="false"/>
        </w:rPr>
        <w:t xml:space="preserve">White</w:t>
      </w:r>
      <w:r>
        <w:rPr>
          <w:rFonts w:ascii="Times New Roman" w:cs="David" w:eastAsia="David" w:hAnsi="Times New Roman"/>
          <w:sz w:val="24"/>
          <w:szCs w:val="24"/>
          <w:rtl/>
        </w:rPr>
        <w:t xml:space="preserve"> נקבע במישיגן שדוקטרינת החובה הציבורית מגינה על שוטרים שקיבלו קריאה ולא סייעו למנוע רצח של אישה בידי בעלה.</w:t>
      </w:r>
      <w:r>
        <w:rPr>
          <w:rStyle w:val="FootnoteReference"/>
        </w:rPr>
        <w:footnoteReference w:id="38"/>
      </w:r>
      <w:r>
        <w:rPr>
          <w:rFonts w:ascii="Times New Roman" w:cs="David" w:eastAsia="David" w:hAnsi="Times New Roman"/>
          <w:sz w:val="24"/>
          <w:szCs w:val="24"/>
          <w:rtl/>
        </w:rPr>
        <w:t xml:space="preserve"> בעניין </w:t>
      </w:r>
      <w:r>
        <w:rPr>
          <w:rFonts w:ascii="Times New Roman" w:cs="David" w:eastAsia="David" w:hAnsi="Times New Roman"/>
          <w:sz w:val="24"/>
          <w:szCs w:val="24"/>
          <w:rtl w:val="false"/>
        </w:rPr>
        <w:t xml:space="preserve">Cuffy</w:t>
      </w:r>
      <w:r>
        <w:rPr>
          <w:rFonts w:ascii="Times New Roman" w:cs="David" w:eastAsia="David" w:hAnsi="Times New Roman"/>
          <w:sz w:val="24"/>
          <w:szCs w:val="24"/>
          <w:rtl/>
        </w:rPr>
        <w:t xml:space="preserve"> נדרשה הוכחה של "יחסים מיוחדים" בין המשטרה לקורבן. לפי תיאורו של סגל, המשטרה הבטיחה לאישה שבעלה עצור ושאין לה סיבה לחשוש, ויומיים לאחר מכן הבעל דקר אותה. בית המשפט קבע שרכיב ההסתמכות לא הוכח.</w:t>
      </w:r>
      <w:r>
        <w:rPr>
          <w:rStyle w:val="FootnoteReference"/>
        </w:rPr>
        <w:footnoteReference w:id="39"/>
      </w:r>
      <w:r>
        <w:rPr>
          <w:rFonts w:ascii="Times New Roman" w:cs="David" w:eastAsia="David" w:hAnsi="Times New Roman"/>
          <w:sz w:val="24"/>
          <w:szCs w:val="24"/>
          <w:rtl/>
        </w:rPr>
        <w:t xml:space="preserve"> בעניין </w:t>
      </w:r>
      <w:r>
        <w:rPr>
          <w:rFonts w:ascii="Times New Roman" w:cs="David" w:eastAsia="David" w:hAnsi="Times New Roman"/>
          <w:sz w:val="24"/>
          <w:szCs w:val="24"/>
          <w:rtl w:val="false"/>
        </w:rPr>
        <w:t xml:space="preserve">Castle Rock</w:t>
      </w:r>
      <w:r>
        <w:rPr>
          <w:rFonts w:ascii="Times New Roman" w:cs="David" w:eastAsia="David" w:hAnsi="Times New Roman"/>
          <w:sz w:val="24"/>
          <w:szCs w:val="24"/>
          <w:rtl/>
        </w:rPr>
        <w:t xml:space="preserve"> דחה בית המשפט העליון האמריקאי את תביעתה של אישה שבעלה הפר צו הגנה ורצח את שלוש בנותיהם, אף שהמשטרה לא פעלה לאכוף את הצו.</w:t>
      </w:r>
      <w:r>
        <w:rPr>
          <w:rStyle w:val="FootnoteReference"/>
        </w:rPr>
        <w:footnoteReference w:id="40"/>
      </w:r>
    </w:p>
    <w:p>
      <w:pPr>
        <w:pStyle w:val="Heading2"/>
        <w:bidi/>
        <w:spacing w:after="160" w:before="240"/>
        <w:jc w:val="right"/>
      </w:pPr>
      <w:r>
        <w:rPr>
          <w:rFonts w:ascii="Times New Roman" w:cs="David" w:eastAsia="David" w:hAnsi="Times New Roman"/>
          <w:b/>
          <w:bCs/>
          <w:sz w:val="28"/>
          <w:szCs w:val="28"/>
          <w:rtl/>
        </w:rPr>
        <w:t xml:space="preserve">4. מה ניתן ללמוד מהמשפט המשווה</w:t>
      </w:r>
    </w:p>
    <w:p>
      <w:pPr>
        <w:bidi/>
        <w:spacing w:after="120" w:line="360"/>
        <w:ind w:firstLine="0"/>
        <w:jc w:val="both"/>
      </w:pPr>
      <w:r>
        <w:rPr>
          <w:rFonts w:ascii="Times New Roman" w:cs="David" w:eastAsia="David" w:hAnsi="Times New Roman"/>
          <w:sz w:val="24"/>
          <w:szCs w:val="24"/>
          <w:rtl/>
        </w:rPr>
        <w:t xml:space="preserve">שלושה לקחים עולים מההשוואה. הלקח הראשון הוא שכללים ברורים במפגש שבין שוטר לאזרח, כמו כללי מירנדה או מבחן "חופשי לעזוב", משרתים גם את השוטר וגם את האזרח: שניהם יודעים מתי הגבול נחצה. הלקח השני הוא שהתמקצעות משטרתית בלי ערוצי קשר עם הקהילה ובלי בקרה חיצונית יוצרת ניכור. הלקח השלישי הוא ששיטור חסר כמעט אינו נתון לביקורת משפטית בשיטות אלה. מי שנפגע מפשיעה שהמשטרה לא מנעה נותר, ככלל, בלי סעד. כפי שיוצג בפרק החמישי, המשפט הישראלי מחמיר יותר עם המשטרה, אך גם בו הקצאת המשאבים מוגנת. לכן האחריותיות על שיטור חסר צריכה לבוא ממקורות אחרים: ממדידה שקופה, מדיווח ציבורי ומפיקוח של גופים חיצוניים.</w:t>
      </w:r>
    </w:p>
    <w:p>
      <w:pPr>
        <w:pStyle w:val="Heading1"/>
        <w:pageBreakBefore/>
        <w:bidi/>
        <w:spacing w:after="160" w:before="240"/>
        <w:jc w:val="center"/>
      </w:pPr>
      <w:r>
        <w:rPr>
          <w:rFonts w:ascii="Times New Roman" w:cs="David" w:eastAsia="David" w:hAnsi="Times New Roman"/>
          <w:b/>
          <w:bCs/>
          <w:sz w:val="32"/>
          <w:szCs w:val="32"/>
          <w:rtl/>
        </w:rPr>
        <w:t xml:space="preserve">פרק ג: רפורמת אמו"ן: רציונל, מבנה ומסגרת משפטית</w:t>
      </w:r>
    </w:p>
    <w:p>
      <w:pPr>
        <w:pStyle w:val="Heading2"/>
        <w:bidi/>
        <w:spacing w:after="160" w:before="240"/>
        <w:jc w:val="right"/>
      </w:pPr>
      <w:r>
        <w:rPr>
          <w:rFonts w:ascii="Times New Roman" w:cs="David" w:eastAsia="David" w:hAnsi="Times New Roman"/>
          <w:b/>
          <w:bCs/>
          <w:sz w:val="28"/>
          <w:szCs w:val="28"/>
          <w:rtl/>
        </w:rPr>
        <w:t xml:space="preserve">1. הרציונל הארגוני</w:t>
      </w:r>
    </w:p>
    <w:p>
      <w:pPr>
        <w:bidi/>
        <w:spacing w:after="120" w:line="360"/>
        <w:ind w:firstLine="0"/>
        <w:jc w:val="both"/>
      </w:pPr>
      <w:r>
        <w:rPr>
          <w:rFonts w:ascii="Times New Roman" w:cs="David" w:eastAsia="David" w:hAnsi="Times New Roman"/>
          <w:sz w:val="24"/>
          <w:szCs w:val="24"/>
          <w:rtl/>
        </w:rPr>
        <w:t xml:space="preserve">תוכנית אמו"ן הוצגה כרפורמה שהוביל המפכ"ל רוני אלשיך החל משנת 2015. לפי פדן, התוכנית הציגה תפיסת עולם חדשה ביחס ליעדי המשטרה ולפעולתה, תוך יישום שיטות שיטור מודרניות ויזומות.</w:t>
      </w:r>
      <w:r>
        <w:rPr>
          <w:rStyle w:val="FootnoteReference"/>
        </w:rPr>
        <w:footnoteReference w:id="41"/>
      </w:r>
      <w:r>
        <w:rPr>
          <w:rFonts w:ascii="Times New Roman" w:cs="David" w:eastAsia="David" w:hAnsi="Times New Roman"/>
          <w:sz w:val="24"/>
          <w:szCs w:val="24"/>
          <w:rtl/>
        </w:rPr>
        <w:t xml:space="preserve"> מוקד הרפורמה, כפי שהוא מתואר, אינו רק הגדלת האכיפה אלא שינוי באופן שבו המשטרה מגדירה את יעדיה, מתכננת את פעולותיה ומתמודדת עם תופעות פשיעה. פדן מדגיש שאמו"ן הייתה מהלך ארגוני עצמאי של המשטרה, ולא תוכנית כוללת ומתואמת שהופעלה במקביל גם בפרקליטות.</w:t>
      </w:r>
      <w:r>
        <w:rPr>
          <w:rStyle w:val="FootnoteReference"/>
        </w:rPr>
        <w:footnoteReference w:id="42"/>
      </w:r>
      <w:r>
        <w:rPr>
          <w:rFonts w:ascii="Times New Roman" w:cs="David" w:eastAsia="David" w:hAnsi="Times New Roman"/>
          <w:sz w:val="24"/>
          <w:szCs w:val="24"/>
          <w:rtl/>
        </w:rPr>
        <w:t xml:space="preserve"> לנקודה זו יש משמעות מעשית: כשהמשטרה משנה את מדדי ההצלחה שלה בלי שינוי מקביל בתביעה ובבתי המשפט, עלייה במספר התיקים עלולה להיתקע בשלב ההעמדה לדין, והציבור יראה אכיפה בלי תוצאה.</w:t>
      </w:r>
    </w:p>
    <w:p>
      <w:pPr>
        <w:bidi/>
        <w:spacing w:after="120" w:line="360"/>
        <w:ind w:firstLine="0"/>
        <w:jc w:val="both"/>
      </w:pPr>
      <w:r>
        <w:rPr>
          <w:rFonts w:ascii="Times New Roman" w:cs="David" w:eastAsia="David" w:hAnsi="Times New Roman"/>
          <w:sz w:val="24"/>
          <w:szCs w:val="24"/>
          <w:rtl/>
        </w:rPr>
        <w:t xml:space="preserve">החומר שנאסף אינו מפרט את מנגנוני הפעולה של אמו"ן ברמה של תחנות, יחידות או מדדים, ואינו כולל הערכה אמפירית של השפעתה. לכן הפרק אינו מתאר את הרפורמה מבפנים. הוא בוחן את המסגרת המשפטית שבתוכה כל רפורמה שיטורית פועלת, ואת הגבולות שהמסגרת הזו מציבה למיקוד האכיפה.</w:t>
      </w:r>
    </w:p>
    <w:p>
      <w:pPr>
        <w:pStyle w:val="Heading2"/>
        <w:bidi/>
        <w:spacing w:after="160" w:before="240"/>
        <w:jc w:val="right"/>
      </w:pPr>
      <w:r>
        <w:rPr>
          <w:rFonts w:ascii="Times New Roman" w:cs="David" w:eastAsia="David" w:hAnsi="Times New Roman"/>
          <w:b/>
          <w:bCs/>
          <w:sz w:val="28"/>
          <w:szCs w:val="28"/>
          <w:rtl/>
        </w:rPr>
        <w:t xml:space="preserve">2. מי קובע את סדרי העדיפויות</w:t>
      </w:r>
    </w:p>
    <w:p>
      <w:pPr>
        <w:bidi/>
        <w:spacing w:after="120" w:line="360"/>
        <w:ind w:firstLine="0"/>
        <w:jc w:val="both"/>
      </w:pPr>
      <w:r>
        <w:rPr>
          <w:rFonts w:ascii="Times New Roman" w:cs="David" w:eastAsia="David" w:hAnsi="Times New Roman"/>
          <w:sz w:val="24"/>
          <w:szCs w:val="24"/>
          <w:rtl/>
        </w:rPr>
        <w:t xml:space="preserve">סעיף 3 לפקודת המשטרה מגדיר את תפקידי המשטרה: מניעת עבירות וגילוין, תפיסת עבריינים ותביעתם לדין, שמירת אסירים וקיום הסדר הציבורי וביטחון הנפש והרכוש.</w:t>
      </w:r>
      <w:r>
        <w:rPr>
          <w:rStyle w:val="FootnoteReference"/>
        </w:rPr>
        <w:footnoteReference w:id="43"/>
      </w:r>
      <w:r>
        <w:rPr>
          <w:rFonts w:ascii="Times New Roman" w:cs="David" w:eastAsia="David" w:hAnsi="Times New Roman"/>
          <w:sz w:val="24"/>
          <w:szCs w:val="24"/>
          <w:rtl/>
        </w:rPr>
        <w:t xml:space="preserve"> הסעיף אינו מקור הסמכה עצמאי לפעולה שפוגעת בזכויות יסוד. בעניין ג'בארין נקבע שאין להסתפק בהפניה כללית לתפקידי המשטרה כדי להצדיק פגיעה כזו.</w:t>
      </w:r>
      <w:r>
        <w:rPr>
          <w:rStyle w:val="FootnoteReference"/>
        </w:rPr>
        <w:footnoteReference w:id="44"/>
      </w:r>
    </w:p>
    <w:p>
      <w:pPr>
        <w:bidi/>
        <w:spacing w:after="120" w:line="360"/>
        <w:ind w:firstLine="0"/>
        <w:jc w:val="both"/>
      </w:pPr>
      <w:r>
        <w:rPr>
          <w:rFonts w:ascii="Times New Roman" w:cs="David" w:eastAsia="David" w:hAnsi="Times New Roman"/>
          <w:sz w:val="24"/>
          <w:szCs w:val="24"/>
          <w:rtl/>
        </w:rPr>
        <w:t xml:space="preserve">בשנת 2022 נוסף לפקודה סעיף 8ג, שמסמיך את השר להתוות את מדיניות המשטרה ואת העקרונות הכלליים לפעילותה, לרבות סדרי העדיפויות.</w:t>
      </w:r>
      <w:r>
        <w:rPr>
          <w:rStyle w:val="FootnoteReference"/>
        </w:rPr>
        <w:footnoteReference w:id="45"/>
      </w:r>
      <w:r>
        <w:rPr>
          <w:rFonts w:ascii="Times New Roman" w:cs="David" w:eastAsia="David" w:hAnsi="Times New Roman"/>
          <w:sz w:val="24"/>
          <w:szCs w:val="24"/>
          <w:rtl/>
        </w:rPr>
        <w:t xml:space="preserve"> באותו תיקון נוסף גם סעיף 8ד, שהסמיך את השר להתוות מדיניות כללית בתחום החקירות. בעניין התנועה למען איכות השלטון הכריז בית המשפט, ברוב של חמישה שופטים נגד ארבעה, על בטלות סעיף 8ד, משום שלא נמצאה לו פרשנות שתעמוד במבחני פסקת ההגבלה.</w:t>
      </w:r>
      <w:r>
        <w:rPr>
          <w:rStyle w:val="FootnoteReference"/>
        </w:rPr>
        <w:footnoteReference w:id="46"/>
      </w:r>
      <w:r>
        <w:rPr>
          <w:rFonts w:ascii="Times New Roman" w:cs="David" w:eastAsia="David" w:hAnsi="Times New Roman"/>
          <w:sz w:val="24"/>
          <w:szCs w:val="24"/>
          <w:rtl/>
        </w:rPr>
        <w:t xml:space="preserve"> את סעיף 8ג פירש בית המשפט כמתיר מדיניות כללית ועקרונית בלבד: היא אינה יכולה לעסוק בפרטי ביצוע או להיקבע אגב אירוע מסוים ובמהלכו, והשר חייב להיוועץ במפכ"ל ולפרסם אותה. מדיניות בתחום ההפגנות מחייבת גם היוועצות ביועצת המשפטית לממשלה.</w:t>
      </w:r>
      <w:r>
        <w:rPr>
          <w:rStyle w:val="FootnoteReference"/>
        </w:rPr>
        <w:footnoteReference w:id="47"/>
      </w:r>
      <w:r>
        <w:rPr>
          <w:rFonts w:ascii="Times New Roman" w:cs="David" w:eastAsia="David" w:hAnsi="Times New Roman"/>
          <w:sz w:val="24"/>
          <w:szCs w:val="24"/>
          <w:rtl/>
        </w:rPr>
        <w:t xml:space="preserve"> בית המשפט הדגיש שהאופן שבו מוסדרים היחסים בין השר למשטרה משפיע על עצם הלגיטימיות של הפעלת סמכויות המשטרה, וכי הבטחת עצמאותה ומקצועיותה חיונית להגנה על זכויות האדם.</w:t>
      </w:r>
      <w:r>
        <w:rPr>
          <w:rStyle w:val="FootnoteReference"/>
        </w:rPr>
        <w:footnoteReference w:id="48"/>
      </w:r>
    </w:p>
    <w:p>
      <w:pPr>
        <w:bidi/>
        <w:spacing w:after="120" w:line="360"/>
        <w:ind w:firstLine="0"/>
        <w:jc w:val="both"/>
      </w:pPr>
      <w:r>
        <w:rPr>
          <w:rFonts w:ascii="Times New Roman" w:cs="David" w:eastAsia="David" w:hAnsi="Times New Roman"/>
          <w:sz w:val="24"/>
          <w:szCs w:val="24"/>
          <w:rtl/>
        </w:rPr>
        <w:t xml:space="preserve">לפסיקה זו השלכה ישירה על רפורמה כמו אמו"ן. שיטור שמבקש לרכוש את אמון הציבור הערבי צריך להיתפס כעצמאי ומקצועי, ולא כזרוע של מדיניות פוליטית. נייר העמדה של הפורום מזהיר שפוליטיזציה של השיטור עלולה להוביל לכך שפעולת המשטרה תוטה "לפגיעה באויבים ועזרה לחברים": שתיקה לנוכח הפרות חוק בידי מקורבים, או שיטור יתר ואף פעולות מכוונות כלפי "אנשי הצד שכנגד".</w:t>
      </w:r>
      <w:r>
        <w:rPr>
          <w:rStyle w:val="FootnoteReference"/>
        </w:rPr>
        <w:footnoteReference w:id="49"/>
      </w:r>
      <w:r>
        <w:rPr>
          <w:rFonts w:ascii="Times New Roman" w:cs="David" w:eastAsia="David" w:hAnsi="Times New Roman"/>
          <w:sz w:val="24"/>
          <w:szCs w:val="24"/>
          <w:rtl/>
        </w:rPr>
        <w:t xml:space="preserve"> בעניין התנועה למען איכות השלטון הבהיר בית המשפט ששימוש פוליטי בסמכויות המשטרה עלול להביא לאכיפת יתר או לאכיפת חסר כלפי קבוצות שונות, לפגוע בשוויון לפני החוק ולערער את אמון הציבור.</w:t>
      </w:r>
      <w:r>
        <w:rPr>
          <w:rStyle w:val="FootnoteReference"/>
        </w:rPr>
        <w:footnoteReference w:id="50"/>
      </w:r>
      <w:r>
        <w:rPr>
          <w:rFonts w:ascii="Times New Roman" w:cs="David" w:eastAsia="David" w:hAnsi="Times New Roman"/>
          <w:sz w:val="24"/>
          <w:szCs w:val="24"/>
          <w:rtl/>
        </w:rPr>
        <w:t xml:space="preserve"> שיטור חסר ושיטור יתר מוצגים כאן כשני צדדים של אותה פגיעה בשוויון.</w:t>
      </w:r>
    </w:p>
    <w:p>
      <w:pPr>
        <w:pStyle w:val="Heading2"/>
        <w:bidi/>
        <w:spacing w:after="160" w:before="240"/>
        <w:jc w:val="right"/>
      </w:pPr>
      <w:r>
        <w:rPr>
          <w:rFonts w:ascii="Times New Roman" w:cs="David" w:eastAsia="David" w:hAnsi="Times New Roman"/>
          <w:b/>
          <w:bCs/>
          <w:sz w:val="28"/>
          <w:szCs w:val="28"/>
          <w:rtl/>
        </w:rPr>
        <w:t xml:space="preserve">3. אכיפה ממוקדת ואכיפה בררנית</w:t>
      </w:r>
    </w:p>
    <w:p>
      <w:pPr>
        <w:bidi/>
        <w:spacing w:after="120" w:line="360"/>
        <w:ind w:firstLine="0"/>
        <w:jc w:val="both"/>
      </w:pPr>
      <w:r>
        <w:rPr>
          <w:rFonts w:ascii="Times New Roman" w:cs="David" w:eastAsia="David" w:hAnsi="Times New Roman"/>
          <w:sz w:val="24"/>
          <w:szCs w:val="24"/>
          <w:rtl/>
        </w:rPr>
        <w:t xml:space="preserve">רפורמה שמבקשת למקד משאבים בעבירות, במוקדים או באוכלוסיות בסיכון רשאית להסתמך על סדרי עדיפויות ועל מגבלות משאבים. הגבול עובר בין אכיפה חלקית לבין אכיפה בררנית. בעניין זקין הבחין בית המשפט בין אכיפה חלקית, שנובעת ממשאבים מוגבלים, לבין אכיפה בררנית, שמבוססת על שיקול זר, על מטרה פסולה או על שרירות.</w:t>
      </w:r>
      <w:r>
        <w:rPr>
          <w:rStyle w:val="FootnoteReference"/>
        </w:rPr>
        <w:footnoteReference w:id="51"/>
      </w:r>
      <w:r>
        <w:rPr>
          <w:rFonts w:ascii="Times New Roman" w:cs="David" w:eastAsia="David" w:hAnsi="Times New Roman"/>
          <w:sz w:val="24"/>
          <w:szCs w:val="24"/>
          <w:rtl/>
        </w:rPr>
        <w:t xml:space="preserve"> בעניין בורוביץ הוסבר שאכיפה בררנית פוגעת בשוויון בפני החוק ובתחושת הצדק וההגינות.</w:t>
      </w:r>
      <w:r>
        <w:rPr>
          <w:rStyle w:val="FootnoteReference"/>
        </w:rPr>
        <w:footnoteReference w:id="52"/>
      </w:r>
      <w:r>
        <w:rPr>
          <w:rFonts w:ascii="Times New Roman" w:cs="David" w:eastAsia="David" w:hAnsi="Times New Roman"/>
          <w:sz w:val="24"/>
          <w:szCs w:val="24"/>
          <w:rtl/>
        </w:rPr>
        <w:t xml:space="preserve"> בעניין פרץ הוצב מבחן מעשי: יש להגדיר את קבוצת השוויון, לבדוק אם קיימת הבחנה רלוונטית בין המקרים, ולבחון אם האכיפה נבעה משיקולים ענייניים או מהפליה, מרשות או משיקול זר.</w:t>
      </w:r>
      <w:r>
        <w:rPr>
          <w:rStyle w:val="FootnoteReference"/>
        </w:rPr>
        <w:footnoteReference w:id="53"/>
      </w:r>
    </w:p>
    <w:p>
      <w:pPr>
        <w:bidi/>
        <w:spacing w:after="120" w:line="360"/>
        <w:ind w:firstLine="0"/>
        <w:jc w:val="both"/>
      </w:pPr>
      <w:r>
        <w:rPr>
          <w:rFonts w:ascii="Times New Roman" w:cs="David" w:eastAsia="David" w:hAnsi="Times New Roman"/>
          <w:sz w:val="24"/>
          <w:szCs w:val="24"/>
          <w:rtl/>
        </w:rPr>
        <w:t xml:space="preserve">הבחנה בין מקרים דומים אינה יכולה להתבסס על לאום או על זהות קבוצתית. זהו גבול משפטי מרכזי לכל מדיניות אכיפה כלפי החברה הערבית. בעניין דיאב נקבע שיש לבחון באופן קונקרטי את נסיבות האירוע, ושאין מקום למדיניות גורפת שמבוססת על זהות הקבוצה או על הכללה ביחס למפגינים.</w:t>
      </w:r>
      <w:r>
        <w:rPr>
          <w:rStyle w:val="FootnoteReference"/>
        </w:rPr>
        <w:footnoteReference w:id="54"/>
      </w:r>
      <w:r>
        <w:rPr>
          <w:rFonts w:ascii="Times New Roman" w:cs="David" w:eastAsia="David" w:hAnsi="Times New Roman"/>
          <w:sz w:val="24"/>
          <w:szCs w:val="24"/>
          <w:rtl/>
        </w:rPr>
        <w:t xml:space="preserve"> בעניין עבאס הודגש שהפעלת סמכות משטרתית במהלך מחאה חייבת להתבסס על הפרעה קונקרטית לשלום הציבור או על נסיבות פרטניות, ולא על ההשתייכות הלאומית או הפוליטית של המשתתפים.</w:t>
      </w:r>
      <w:r>
        <w:rPr>
          <w:rStyle w:val="FootnoteReference"/>
        </w:rPr>
        <w:footnoteReference w:id="55"/>
      </w:r>
      <w:r>
        <w:rPr>
          <w:rFonts w:ascii="Times New Roman" w:cs="David" w:eastAsia="David" w:hAnsi="Times New Roman"/>
          <w:sz w:val="24"/>
          <w:szCs w:val="24"/>
          <w:rtl/>
        </w:rPr>
        <w:t xml:space="preserve"> בעניין מטה הרוב נקבע שתפקיד המשטרה אינו מתמצה בדיכוי הפרות סדר, והוא כולל גם הגנה על זכויות יסוד, ובהן חופש הביטוי וההפגנה.</w:t>
      </w:r>
      <w:r>
        <w:rPr>
          <w:rStyle w:val="FootnoteReference"/>
        </w:rPr>
        <w:footnoteReference w:id="56"/>
      </w:r>
    </w:p>
    <w:p>
      <w:pPr>
        <w:pStyle w:val="Heading2"/>
        <w:bidi/>
        <w:spacing w:after="160" w:before="240"/>
        <w:jc w:val="right"/>
      </w:pPr>
      <w:r>
        <w:rPr>
          <w:rFonts w:ascii="Times New Roman" w:cs="David" w:eastAsia="David" w:hAnsi="Times New Roman"/>
          <w:b/>
          <w:bCs/>
          <w:sz w:val="28"/>
          <w:szCs w:val="28"/>
          <w:rtl/>
        </w:rPr>
        <w:t xml:space="preserve">4. טכנולוגיה, מעקב והיגיון צבאי</w:t>
      </w:r>
    </w:p>
    <w:p>
      <w:pPr>
        <w:bidi/>
        <w:spacing w:after="120" w:line="360"/>
        <w:ind w:firstLine="0"/>
        <w:jc w:val="both"/>
      </w:pPr>
      <w:r>
        <w:rPr>
          <w:rFonts w:ascii="Times New Roman" w:cs="David" w:eastAsia="David" w:hAnsi="Times New Roman"/>
          <w:sz w:val="24"/>
          <w:szCs w:val="24"/>
          <w:rtl/>
        </w:rPr>
        <w:t xml:space="preserve">שיטור יזום נשען יותר ויותר על טכנולוגיה. קדוש נוסבאום מתארת כיצד מצבי משבר מעודדים את הרחבת המעקב המשטרתי. בארצות הברית, אחרי אירועי 11 בספטמבר, הורחבו סמכויות המעקב והחיפוש תחת הגדרה חדשה של "אכיפת חוק מניעתית".</w:t>
      </w:r>
      <w:r>
        <w:rPr>
          <w:rStyle w:val="FootnoteReference"/>
        </w:rPr>
        <w:footnoteReference w:id="57"/>
      </w:r>
      <w:r>
        <w:rPr>
          <w:rFonts w:ascii="Times New Roman" w:cs="David" w:eastAsia="David" w:hAnsi="Times New Roman"/>
          <w:sz w:val="24"/>
          <w:szCs w:val="24"/>
          <w:rtl/>
        </w:rPr>
        <w:t xml:space="preserve"> בישראל, בשנת 1974 התווספה לתפקידי המשטרה גם האחריות לביטחון הפנים. לפי קדוש נוסבאום, העיסוק בשיטור טרור ("שיטור גבוה") מחזק את "המגמה הצבאית", שמאפשרת פגיעה מוגברת בזכויות אדם ופוגעת ב"מגמת מתן שירות משטרתי לקהילה", וזמינות הכלים המבצעיים מובילה לשימוש בהם גם בתפקידי אכיפה רגילים מול אזרחי המדינה.</w:t>
      </w:r>
      <w:r>
        <w:rPr>
          <w:rStyle w:val="FootnoteReference"/>
        </w:rPr>
        <w:footnoteReference w:id="58"/>
      </w:r>
    </w:p>
    <w:p>
      <w:pPr>
        <w:bidi/>
        <w:spacing w:after="120" w:line="360"/>
        <w:ind w:firstLine="0"/>
        <w:jc w:val="both"/>
      </w:pPr>
      <w:r>
        <w:rPr>
          <w:rFonts w:ascii="Times New Roman" w:cs="David" w:eastAsia="David" w:hAnsi="Times New Roman"/>
          <w:sz w:val="24"/>
          <w:szCs w:val="24"/>
          <w:rtl/>
        </w:rPr>
        <w:t xml:space="preserve">ההערה הזו חשובה במיוחד לחברה הערבית, שבה אותן יחידות ואותם כלים משמשים לעיתים גם לסיכול טרור וגם לטיפול בפשיעה אזרחית. נייר העמדה של הפורום מוסיף שההבדל המשמעותי בין משטרה לצבא הוא שהצבא פועל כלפי אויב מבחוץ, ואילו פעילות המשטרה מכוונת פנימה, אל האזרחים, ולכן היא נשענת על אמון הציבור ועל שיתוף הפעולה שלו.</w:t>
      </w:r>
      <w:r>
        <w:rPr>
          <w:rStyle w:val="FootnoteReference"/>
        </w:rPr>
        <w:footnoteReference w:id="59"/>
      </w:r>
      <w:r>
        <w:rPr>
          <w:rFonts w:ascii="Times New Roman" w:cs="David" w:eastAsia="David" w:hAnsi="Times New Roman"/>
          <w:sz w:val="24"/>
          <w:szCs w:val="24"/>
          <w:rtl/>
        </w:rPr>
        <w:t xml:space="preserve"> ככל שכוח השיטור נראה מעין צבאי, הוא נתפס כלגיטימי פחות.</w:t>
      </w:r>
      <w:r>
        <w:rPr>
          <w:rStyle w:val="FootnoteReference"/>
        </w:rPr>
        <w:footnoteReference w:id="60"/>
      </w:r>
      <w:r>
        <w:rPr>
          <w:rFonts w:ascii="Times New Roman" w:cs="David" w:eastAsia="David" w:hAnsi="Times New Roman"/>
          <w:sz w:val="24"/>
          <w:szCs w:val="24"/>
          <w:rtl/>
        </w:rPr>
        <w:t xml:space="preserve"> רפורמה שמטמיעה שיטור יזום בלי להפריד בין היגיון של סיכול לבין היגיון של שירות לקהילה עלולה להשיג את ההפך ממטרתה.</w:t>
      </w:r>
    </w:p>
    <w:p>
      <w:pPr>
        <w:bidi/>
        <w:spacing w:after="120" w:line="360"/>
        <w:ind w:firstLine="0"/>
        <w:jc w:val="both"/>
      </w:pPr>
      <w:r>
        <w:rPr>
          <w:rFonts w:ascii="Times New Roman" w:cs="David" w:eastAsia="David" w:hAnsi="Times New Roman"/>
          <w:sz w:val="24"/>
          <w:szCs w:val="24"/>
          <w:rtl/>
        </w:rPr>
        <w:t xml:space="preserve">בירנהק מראה שהבעיה אינה מוגבלת לשאלת הדימוי. הוא מתאר פרקטיקות שיטור שנשענו על הסכמה נחזית או על היעדר איסור, ולא על הסמכה מפורשת, ובהן מערכת "עין הנץ", שכוללת הצבת מצלמות לזיהוי מספרי רכב בכבישים ופועלת בלי הסדר בחוק.</w:t>
      </w:r>
      <w:r>
        <w:rPr>
          <w:rStyle w:val="FootnoteReference"/>
        </w:rPr>
        <w:footnoteReference w:id="61"/>
      </w:r>
      <w:r>
        <w:rPr>
          <w:rFonts w:ascii="Times New Roman" w:cs="David" w:eastAsia="David" w:hAnsi="Times New Roman"/>
          <w:sz w:val="24"/>
          <w:szCs w:val="24"/>
          <w:rtl/>
        </w:rPr>
        <w:t xml:space="preserve"> לפי בירנהק, דרישת ההסמכה המפורשת היא תנאי סף.</w:t>
      </w:r>
      <w:r>
        <w:rPr>
          <w:rStyle w:val="FootnoteReference"/>
        </w:rPr>
        <w:footnoteReference w:id="62"/>
      </w:r>
      <w:r>
        <w:rPr>
          <w:rFonts w:ascii="Times New Roman" w:cs="David" w:eastAsia="David" w:hAnsi="Times New Roman"/>
          <w:sz w:val="24"/>
          <w:szCs w:val="24"/>
          <w:rtl/>
        </w:rPr>
        <w:t xml:space="preserve"> הוא מזהיר מקיצור דרך שבו בתי המשפט נשענים על "הנחת עבודה" שיש פגיעה ועוברים ישר לפסקת ההגבלה, בלי לברר את היקף הזכות והפגיעה בה.</w:t>
      </w:r>
      <w:r>
        <w:rPr>
          <w:rStyle w:val="FootnoteReference"/>
        </w:rPr>
        <w:footnoteReference w:id="63"/>
      </w:r>
      <w:r>
        <w:rPr>
          <w:rFonts w:ascii="Times New Roman" w:cs="David" w:eastAsia="David" w:hAnsi="Times New Roman"/>
          <w:sz w:val="24"/>
          <w:szCs w:val="24"/>
          <w:rtl/>
        </w:rPr>
        <w:t xml:space="preserve"> מעקב טכנולוגי חל על כולם בלי חשד פרטני, ולכן הוא צורה של שיטור יתר שאינה נראית לעין. באזורים שבהם מוצבות מצלמות רבות, הוא פוגע בקהילה שלמה.</w:t>
      </w:r>
    </w:p>
    <w:p>
      <w:pPr>
        <w:pStyle w:val="Heading1"/>
        <w:pageBreakBefore/>
        <w:bidi/>
        <w:spacing w:after="160" w:before="240"/>
        <w:jc w:val="center"/>
      </w:pPr>
      <w:r>
        <w:rPr>
          <w:rFonts w:ascii="Times New Roman" w:cs="David" w:eastAsia="David" w:hAnsi="Times New Roman"/>
          <w:b/>
          <w:bCs/>
          <w:sz w:val="32"/>
          <w:szCs w:val="32"/>
          <w:rtl/>
        </w:rPr>
        <w:t xml:space="preserve">פרק ד: החברה הערבית: נשק, ירי ושיטור</w:t>
      </w:r>
    </w:p>
    <w:p>
      <w:pPr>
        <w:pStyle w:val="Heading2"/>
        <w:bidi/>
        <w:spacing w:after="160" w:before="240"/>
        <w:jc w:val="right"/>
      </w:pPr>
      <w:r>
        <w:rPr>
          <w:rFonts w:ascii="Times New Roman" w:cs="David" w:eastAsia="David" w:hAnsi="Times New Roman"/>
          <w:b/>
          <w:bCs/>
          <w:sz w:val="28"/>
          <w:szCs w:val="28"/>
          <w:rtl/>
        </w:rPr>
        <w:t xml:space="preserve">1. נשק בלתי חוקי כמכפיל סיכון</w:t>
      </w:r>
    </w:p>
    <w:p>
      <w:pPr>
        <w:bidi/>
        <w:spacing w:after="120" w:line="360"/>
        <w:ind w:firstLine="0"/>
        <w:jc w:val="both"/>
      </w:pPr>
      <w:r>
        <w:rPr>
          <w:rFonts w:ascii="Times New Roman" w:cs="David" w:eastAsia="David" w:hAnsi="Times New Roman"/>
          <w:sz w:val="24"/>
          <w:szCs w:val="24"/>
          <w:rtl/>
        </w:rPr>
        <w:t xml:space="preserve">המסגרת הפלילית שנוגעת לנשק בלתי חוקי מחמירה. סעיף 144 לחוק העונשין קובע עבירות של החזקת נשק, רכישתו, נשיאתו, הובלתו וסחר בו, בעונשים של עד חמש עשרה שנות מאסר.</w:t>
      </w:r>
      <w:r>
        <w:rPr>
          <w:rStyle w:val="FootnoteReference"/>
        </w:rPr>
        <w:footnoteReference w:id="64"/>
      </w:r>
      <w:r>
        <w:rPr>
          <w:rFonts w:ascii="Times New Roman" w:cs="David" w:eastAsia="David" w:hAnsi="Times New Roman"/>
          <w:sz w:val="24"/>
          <w:szCs w:val="24"/>
          <w:rtl/>
        </w:rPr>
        <w:t xml:space="preserve"> סעיף 144(ז) קובע עונש מינימום של רבע מהעונש המרבי, אלא אם בית המשפט החליט להקל מטעמים מיוחדים שיירשמו.</w:t>
      </w:r>
      <w:r>
        <w:rPr>
          <w:rStyle w:val="FootnoteReference"/>
        </w:rPr>
        <w:footnoteReference w:id="65"/>
      </w:r>
      <w:r>
        <w:rPr>
          <w:rFonts w:ascii="Times New Roman" w:cs="David" w:eastAsia="David" w:hAnsi="Times New Roman"/>
          <w:sz w:val="24"/>
          <w:szCs w:val="24"/>
          <w:rtl/>
        </w:rPr>
        <w:t xml:space="preserve"> סעיף 340א קובע עבירה נפרדת של ירי מנשק חם, בחומרה יתרה כשהירי נעשה באזור מגורים או באופן שעלול לסכן חיי אדם.</w:t>
      </w:r>
      <w:r>
        <w:rPr>
          <w:rStyle w:val="FootnoteReference"/>
        </w:rPr>
        <w:footnoteReference w:id="66"/>
      </w:r>
      <w:r>
        <w:rPr>
          <w:rFonts w:ascii="Times New Roman" w:cs="David" w:eastAsia="David" w:hAnsi="Times New Roman"/>
          <w:sz w:val="24"/>
          <w:szCs w:val="24"/>
          <w:rtl/>
        </w:rPr>
        <w:t xml:space="preserve"> בהליכי מעצר, עבירות נשק מקימות חזקת מסוכנות סטטוטורית, והכלל הוא מעצר מאחורי סורג ובריח, אם כי יש לבחון בכל מקרה את המסוכנות הקונקרטית ואת האפשרות לחלופת מעצר.</w:t>
      </w:r>
      <w:r>
        <w:rPr>
          <w:rStyle w:val="FootnoteReference"/>
        </w:rPr>
        <w:footnoteReference w:id="67"/>
      </w:r>
    </w:p>
    <w:p>
      <w:pPr>
        <w:bidi/>
        <w:spacing w:after="120" w:line="360"/>
        <w:ind w:firstLine="0"/>
        <w:jc w:val="both"/>
      </w:pPr>
      <w:r>
        <w:rPr>
          <w:rFonts w:ascii="Times New Roman" w:cs="David" w:eastAsia="David" w:hAnsi="Times New Roman"/>
          <w:sz w:val="24"/>
          <w:szCs w:val="24"/>
          <w:rtl/>
        </w:rPr>
        <w:t xml:space="preserve">הפסיקה מתייחסת בחומרה רבה לתופעה בחברה הערבית. בית המשפט העליון הדגיש את ריבוי המקרים שבהם נשק בלתי חוקי מוביל לפגיעה באזרחים תמימים, ואת הצורך בענישה מחמירה גם כלפי מי שאין לו עבר פלילי.</w:t>
      </w:r>
      <w:r>
        <w:rPr>
          <w:rStyle w:val="FootnoteReference"/>
        </w:rPr>
        <w:footnoteReference w:id="68"/>
      </w:r>
      <w:r>
        <w:rPr>
          <w:rFonts w:ascii="Times New Roman" w:cs="David" w:eastAsia="David" w:hAnsi="Times New Roman"/>
          <w:sz w:val="24"/>
          <w:szCs w:val="24"/>
          <w:rtl/>
        </w:rPr>
        <w:t xml:space="preserve"> נקבע שמדיניות הענישה בעבירות נשק צריכה להיות ממשית ומרתיעה, ובדרך כלל לכלול מאסר בפועל,</w:t>
      </w:r>
      <w:r>
        <w:rPr>
          <w:rStyle w:val="FootnoteReference"/>
        </w:rPr>
        <w:footnoteReference w:id="69"/>
      </w:r>
      <w:r>
        <w:rPr>
          <w:rFonts w:ascii="Times New Roman" w:cs="David" w:eastAsia="David" w:hAnsi="Times New Roman"/>
          <w:sz w:val="24"/>
          <w:szCs w:val="24"/>
          <w:rtl/>
        </w:rPr>
        <w:t xml:space="preserve"> ושהשימוש בנשק חם ליישוב סכסוכים, במיוחד בסביבת בתי מגורים, מחייב ענישה מחמירה.</w:t>
      </w:r>
      <w:r>
        <w:rPr>
          <w:rStyle w:val="FootnoteReference"/>
        </w:rPr>
        <w:footnoteReference w:id="70"/>
      </w:r>
      <w:r>
        <w:rPr>
          <w:rFonts w:ascii="Times New Roman" w:cs="David" w:eastAsia="David" w:hAnsi="Times New Roman"/>
          <w:sz w:val="24"/>
          <w:szCs w:val="24"/>
          <w:rtl/>
        </w:rPr>
        <w:t xml:space="preserve"> בית משפט השלום בחדרה ציין שריבוי הנשק והשימוש בו בסכסוכים ובתוך המשפחה מגבירים לא רק את חוסר הביטחון האישי אלא גם את חוסר האמון ברשויות האכיפה, ושאחת ממטרות ההחמרה בחקיקה היא לחזק את אמון הציבור הערבי ברשויות.</w:t>
      </w:r>
      <w:r>
        <w:rPr>
          <w:rStyle w:val="FootnoteReference"/>
        </w:rPr>
        <w:footnoteReference w:id="71"/>
      </w:r>
    </w:p>
    <w:p>
      <w:pPr>
        <w:bidi/>
        <w:spacing w:after="120" w:line="360"/>
        <w:ind w:firstLine="0"/>
        <w:jc w:val="both"/>
      </w:pPr>
      <w:r>
        <w:rPr>
          <w:rFonts w:ascii="Times New Roman" w:cs="David" w:eastAsia="David" w:hAnsi="Times New Roman"/>
          <w:sz w:val="24"/>
          <w:szCs w:val="24"/>
          <w:rtl/>
        </w:rPr>
        <w:t xml:space="preserve">ספיר מזהיר מפני התמקדות בלעדית באכיפה ובכליאה. הרחבת סמכויות חיפוש, הכנסת כוחות שיטור מיוחדים, החמרת הענישה וקביעת עונשי מינימום נועדו לתקן את שיטור החסר, אך כשהם אינם מלווים בטיפול בגורמי העומק, בשיקום ובשיתוף הציבור הערבי, הם עלולים להוביל לתוצאות בלתי צודקות ולא להפחית את הפשיעה.</w:t>
      </w:r>
      <w:r>
        <w:rPr>
          <w:rStyle w:val="FootnoteReference"/>
        </w:rPr>
        <w:footnoteReference w:id="72"/>
      </w:r>
      <w:r>
        <w:rPr>
          <w:rFonts w:ascii="Times New Roman" w:cs="David" w:eastAsia="David" w:hAnsi="Times New Roman"/>
          <w:sz w:val="24"/>
          <w:szCs w:val="24"/>
          <w:rtl/>
        </w:rPr>
        <w:t xml:space="preserve"> ההחמרה בענישה פועלת, אם כן, בשני כיוונים. היא יכולה לחזק את האמון רק אם היא פוגעת במי שנושא את הנשק ולא בסביבתו.</w:t>
      </w:r>
    </w:p>
    <w:p>
      <w:pPr>
        <w:pStyle w:val="Heading2"/>
        <w:bidi/>
        <w:spacing w:after="160" w:before="240"/>
        <w:jc w:val="right"/>
      </w:pPr>
      <w:r>
        <w:rPr>
          <w:rFonts w:ascii="Times New Roman" w:cs="David" w:eastAsia="David" w:hAnsi="Times New Roman"/>
          <w:b/>
          <w:bCs/>
          <w:sz w:val="28"/>
          <w:szCs w:val="28"/>
          <w:rtl/>
        </w:rPr>
        <w:t xml:space="preserve">2. צעירים בני 18 עד 24</w:t>
      </w:r>
    </w:p>
    <w:p>
      <w:pPr>
        <w:bidi/>
        <w:spacing w:after="120" w:line="360"/>
        <w:ind w:firstLine="0"/>
        <w:jc w:val="both"/>
      </w:pPr>
      <w:r>
        <w:rPr>
          <w:rFonts w:ascii="Times New Roman" w:cs="David" w:eastAsia="David" w:hAnsi="Times New Roman"/>
          <w:sz w:val="24"/>
          <w:szCs w:val="24"/>
          <w:rtl/>
        </w:rPr>
        <w:t xml:space="preserve">בחומר שנאסף אין נתונים מפולחים לפי גיל ולאום על מעורבות בעבירות נשק, על חשיפה לאכיפה או על רמות אמון. עם זאת, הפסיקה והספרות מאפשרות לזהות שלושה מאפיינים שהופכים את הקבוצה הזו לרגישה במיוחד לאופן שבו אמו"ן מיושם. הראשון הוא שהמפגש של צעירים עם המשטרה מתרחש בעיקר ברחוב, במסגרת עיכוב, דרישה להזדהות או חיפוש, ולכן הכללים שחלים על מפגשים אלה, שיוצגו בהמשך הפרק, הם שקובעים את חוויית השיטור שלהם. השני הוא שצעירים משתתפים יותר במחאות ובהפגנות, ובעניין דיאב ובעניין עבאס נקבע שאין להפעיל סמכות משטרתית כלפי מפגינים על סמך זהותם הלאומית.</w:t>
      </w:r>
      <w:r>
        <w:rPr>
          <w:rStyle w:val="FootnoteReference"/>
        </w:rPr>
        <w:footnoteReference w:id="73"/>
      </w:r>
      <w:r>
        <w:rPr>
          <w:rFonts w:ascii="Times New Roman" w:cs="David" w:eastAsia="David" w:hAnsi="Times New Roman"/>
          <w:sz w:val="24"/>
          <w:szCs w:val="24"/>
          <w:rtl/>
        </w:rPr>
        <w:t xml:space="preserve"> השלישי הוא שבני נוער וצעירים נחשבים קבוצה פגיעה בחקירה. קיטאי סנג'רו מציינת שבית המשפט בוחן אם הנאשם שייך "לקבוצה פגיעה, הנמצאת בסיכון גבוה למסירת הודאות שווא", ובני נוער נמנים עליה.</w:t>
      </w:r>
      <w:r>
        <w:rPr>
          <w:rStyle w:val="FootnoteReference"/>
        </w:rPr>
        <w:footnoteReference w:id="74"/>
      </w:r>
    </w:p>
    <w:p>
      <w:pPr>
        <w:bidi/>
        <w:spacing w:after="120" w:line="360"/>
        <w:ind w:firstLine="0"/>
        <w:jc w:val="both"/>
      </w:pPr>
      <w:r>
        <w:rPr>
          <w:rFonts w:ascii="Times New Roman" w:cs="David" w:eastAsia="David" w:hAnsi="Times New Roman"/>
          <w:sz w:val="24"/>
          <w:szCs w:val="24"/>
          <w:rtl/>
        </w:rPr>
        <w:t xml:space="preserve">החברה הערבית עצמה אינה קהילה אחת. שטרן מדגיש שמדובר במכלול של קהילות, מסורתיות ומודרניות, מוסלמיות ונוצריות, כפריות ועירוניות.</w:t>
      </w:r>
      <w:r>
        <w:rPr>
          <w:rStyle w:val="FootnoteReference"/>
        </w:rPr>
        <w:footnoteReference w:id="75"/>
      </w:r>
      <w:r>
        <w:rPr>
          <w:rFonts w:ascii="Times New Roman" w:cs="David" w:eastAsia="David" w:hAnsi="Times New Roman"/>
          <w:sz w:val="24"/>
          <w:szCs w:val="24"/>
          <w:rtl/>
        </w:rPr>
        <w:t xml:space="preserve"> מדיניות אכיפה ושיתוף פעולה אחידה עלולה להחטיא את רובן, וכך גם מדדי הצלחה אחידים.</w:t>
      </w:r>
    </w:p>
    <w:p>
      <w:pPr>
        <w:pStyle w:val="Heading2"/>
        <w:bidi/>
        <w:spacing w:after="160" w:before="240"/>
        <w:jc w:val="right"/>
      </w:pPr>
      <w:r>
        <w:rPr>
          <w:rFonts w:ascii="Times New Roman" w:cs="David" w:eastAsia="David" w:hAnsi="Times New Roman"/>
          <w:b/>
          <w:bCs/>
          <w:sz w:val="28"/>
          <w:szCs w:val="28"/>
          <w:rtl/>
        </w:rPr>
        <w:t xml:space="preserve">3. בין שיטור חסר לשיטור יתר</w:t>
      </w:r>
    </w:p>
    <w:p>
      <w:pPr>
        <w:pStyle w:val="Heading3"/>
        <w:bidi/>
        <w:spacing w:after="160" w:before="240"/>
        <w:jc w:val="right"/>
      </w:pPr>
      <w:r>
        <w:rPr>
          <w:rFonts w:ascii="Times New Roman" w:cs="David" w:eastAsia="David" w:hAnsi="Times New Roman"/>
          <w:b/>
          <w:bCs/>
          <w:sz w:val="24"/>
          <w:szCs w:val="24"/>
          <w:rtl/>
        </w:rPr>
        <w:t xml:space="preserve">א. שיטור חסר</w:t>
      </w:r>
    </w:p>
    <w:p>
      <w:pPr>
        <w:bidi/>
        <w:spacing w:after="120" w:line="360"/>
        <w:ind w:firstLine="0"/>
        <w:jc w:val="both"/>
      </w:pPr>
      <w:r>
        <w:rPr>
          <w:rFonts w:ascii="Times New Roman" w:cs="David" w:eastAsia="David" w:hAnsi="Times New Roman"/>
          <w:sz w:val="24"/>
          <w:szCs w:val="24"/>
          <w:rtl/>
        </w:rPr>
        <w:t xml:space="preserve">הרדוף מתאר מצב שבו כוח אדם מוגבל, ריבוי עבירות ומדיניות אכיפה בלתי שיטתית מביאים לכך שחלקים מדיני העונשין נאכפים באופן חלקי בלבד, מתלוננים נתקלים בחסמים, ומדיניות האכיפה נקבעת בפועל בלי הסמכה ברורה. בחירת המקומות שבהם יוצבו ניידות ובאילו תופעות תתמקד האכיפה מנתבת את ההליך הפלילי לאוכלוסיות ולאזורים מסוימים.</w:t>
      </w:r>
      <w:r>
        <w:rPr>
          <w:rStyle w:val="FootnoteReference"/>
        </w:rPr>
        <w:footnoteReference w:id="76"/>
      </w:r>
      <w:r>
        <w:rPr>
          <w:rFonts w:ascii="Times New Roman" w:cs="David" w:eastAsia="David" w:hAnsi="Times New Roman"/>
          <w:sz w:val="24"/>
          <w:szCs w:val="24"/>
          <w:rtl/>
        </w:rPr>
        <w:t xml:space="preserve"> אותה בחירה, כשהיא אינה שקופה, יכולה לייצר בו-זמנית הזנחה של תלונות ושיטור יתר באותו יישוב.</w:t>
      </w:r>
    </w:p>
    <w:p>
      <w:pPr>
        <w:bidi/>
        <w:spacing w:after="120" w:line="360"/>
        <w:ind w:firstLine="0"/>
        <w:jc w:val="both"/>
      </w:pPr>
      <w:r>
        <w:rPr>
          <w:rFonts w:ascii="Times New Roman" w:cs="David" w:eastAsia="David" w:hAnsi="Times New Roman"/>
          <w:sz w:val="24"/>
          <w:szCs w:val="24"/>
          <w:rtl/>
        </w:rPr>
        <w:t xml:space="preserve">גם כשבית המשפט מכיר בכך שכללים אינם נאכפים, הוא נמנע מלהכתיב למשטרה מראש כיצד לאכוף אותם. בעניין פדידה עתרו תושבי רחביה וטלביה נגד ההפגנות ליד מעון ראש הממשלה. בית המשפט דחה את העתירה, אך קבע שאין מחלוקת שהמגבלות שהטילה המשטרה על משך ההפגנות ועל הרעש לא קוימו במקרים לא מעטים, ועדיין סירב להורות מראש על דרך אכיפה, בשל ההיקף המוגבל של ההתערבות במדיניות האכיפה. השופטת וילנר הוסיפה שלאיזון שנקבע לא יהיה ערך "אם יישאר כאיזון תיאורטי, הקיים 'על הנייר בלבד'", ושעליו לבוא לידי ביטוי באכיפה אפקטיבית.</w:t>
      </w:r>
      <w:r>
        <w:rPr>
          <w:rStyle w:val="FootnoteReference"/>
        </w:rPr>
        <w:footnoteReference w:id="77"/>
      </w:r>
      <w:r>
        <w:rPr>
          <w:rFonts w:ascii="Times New Roman" w:cs="David" w:eastAsia="David" w:hAnsi="Times New Roman"/>
          <w:sz w:val="24"/>
          <w:szCs w:val="24"/>
          <w:rtl/>
        </w:rPr>
        <w:t xml:space="preserve"> ההערה הזו חלה במידה רבה יותר על יישובים שבהם שיטור החסר נוגע לירי ולא לרעש.</w:t>
      </w:r>
    </w:p>
    <w:p>
      <w:pPr>
        <w:pStyle w:val="Heading3"/>
        <w:bidi/>
        <w:spacing w:after="160" w:before="240"/>
        <w:jc w:val="right"/>
      </w:pPr>
      <w:r>
        <w:rPr>
          <w:rFonts w:ascii="Times New Roman" w:cs="David" w:eastAsia="David" w:hAnsi="Times New Roman"/>
          <w:b/>
          <w:bCs/>
          <w:sz w:val="24"/>
          <w:szCs w:val="24"/>
          <w:rtl/>
        </w:rPr>
        <w:t xml:space="preserve">ב. שיטור יתר: חיפוש, עיכוב והסכמה</w:t>
      </w:r>
    </w:p>
    <w:p>
      <w:pPr>
        <w:bidi/>
        <w:spacing w:after="120" w:line="360"/>
        <w:ind w:firstLine="0"/>
        <w:jc w:val="both"/>
      </w:pPr>
      <w:r>
        <w:rPr>
          <w:rFonts w:ascii="Times New Roman" w:cs="David" w:eastAsia="David" w:hAnsi="Times New Roman"/>
          <w:sz w:val="24"/>
          <w:szCs w:val="24"/>
          <w:rtl/>
        </w:rPr>
        <w:t xml:space="preserve">המסגרת החקיקתית למאבק בנשק אינה מתירה חיפוש גורף. סעיף 3 לחוק הסמכויות לשמירה על ביטחון הציבור מאפשר חיפוש ללא צו רק כשיש חשד סביר שאדם נושא נשק שלא כדין, עומד לעשות בו שימוש או שנשק כזה מצוי בכלי רכב, וכן כשיש חשד סביר שאדם עומד לבצע עבירת אלימות.</w:t>
      </w:r>
      <w:r>
        <w:rPr>
          <w:rStyle w:val="FootnoteReference"/>
        </w:rPr>
        <w:footnoteReference w:id="78"/>
      </w:r>
      <w:r>
        <w:rPr>
          <w:rFonts w:ascii="Times New Roman" w:cs="David" w:eastAsia="David" w:hAnsi="Times New Roman"/>
          <w:sz w:val="24"/>
          <w:szCs w:val="24"/>
          <w:rtl/>
        </w:rPr>
        <w:t xml:space="preserve"> אותו רף חל על עיכוב. שוטר רשאי לעכב אדם במקום רק כשיש לו יסוד סביר לחשד שהאדם עבר עבירה, או שהוא עומד לעבור עבירה שעלולה לסכן אדם, את שלום הציבור או את ביטחון המדינה, ומשך העיכוב מוגבל לזמן הסביר הדרוש, ובכל מקרה לשלוש שעות.</w:t>
      </w:r>
      <w:r>
        <w:rPr>
          <w:rStyle w:val="FootnoteReference"/>
        </w:rPr>
        <w:footnoteReference w:id="79"/>
      </w:r>
      <w:r>
        <w:rPr>
          <w:rFonts w:ascii="Times New Roman" w:cs="David" w:eastAsia="David" w:hAnsi="Times New Roman"/>
          <w:sz w:val="24"/>
          <w:szCs w:val="24"/>
          <w:rtl/>
        </w:rPr>
        <w:t xml:space="preserve"> החוק כולל חריג אחד בולט: סעיף 72א מתיר חיפוש מוגבל על גופו של מי שעוכב, בעת כניסתו לרכב משטרתי, "גם בלא חשד" שהוא מחזיק חפץ מסוכן. החריג מלווה בחובת תיעוד: החיפוש, החפץ שנתפס והשימוש בכוח צריכים להירשם בדוח העיכוב.</w:t>
      </w:r>
      <w:r>
        <w:rPr>
          <w:rStyle w:val="FootnoteReference"/>
        </w:rPr>
        <w:footnoteReference w:id="80"/>
      </w:r>
      <w:r>
        <w:rPr>
          <w:rFonts w:ascii="Times New Roman" w:cs="David" w:eastAsia="David" w:hAnsi="Times New Roman"/>
          <w:sz w:val="24"/>
          <w:szCs w:val="24"/>
          <w:rtl/>
        </w:rPr>
        <w:t xml:space="preserve"> במקום שבו המחוקק ויתר על דרישת החשד, הוא דרש לפחות רישום שמאפשר בקרה בדיעבד.</w:t>
      </w:r>
    </w:p>
    <w:p>
      <w:pPr>
        <w:bidi/>
        <w:spacing w:after="120" w:line="360"/>
        <w:ind w:firstLine="0"/>
        <w:jc w:val="both"/>
      </w:pPr>
      <w:r>
        <w:rPr>
          <w:rFonts w:ascii="Times New Roman" w:cs="David" w:eastAsia="David" w:hAnsi="Times New Roman"/>
          <w:sz w:val="24"/>
          <w:szCs w:val="24"/>
          <w:rtl/>
        </w:rPr>
        <w:t xml:space="preserve">בעניין זייצב נדרש בית המשפט העליון לחיפוש אקראי בשדה התעופה. השוטר העיד שהוא "בודק רנדומלי אנשים בשדה התעופה", ובדיון התברר שאין נוהל שקובע אמות מידה לחיפושים כאלה. דעת הרוב קבעה שגם כשהחוק מתיר חיפוש בלי חשד פרטני, יש לבצעו לפי אמות מידה ברורות ואחידות שמעוגנות בנוהל. הראיות נפסלו והמערער זוכה. השופט אלרון הזכיר שהדרישה להסמכה מפורשת "עשויה להגביר את הפיקוח על החלטות הרשות, לצמצם את החשש לפגיעה לא מידתית בזכויות, ולהבטיח כי יתקיים דיון ציבורי".</w:t>
      </w:r>
      <w:r>
        <w:rPr>
          <w:rStyle w:val="FootnoteReference"/>
        </w:rPr>
        <w:footnoteReference w:id="81"/>
      </w:r>
      <w:r>
        <w:rPr>
          <w:rFonts w:ascii="Times New Roman" w:cs="David" w:eastAsia="David" w:hAnsi="Times New Roman"/>
          <w:sz w:val="24"/>
          <w:szCs w:val="24"/>
          <w:rtl/>
        </w:rPr>
        <w:t xml:space="preserve"> גם השופט מינץ, בדעת מיעוט, סבר שנדרש נוהל. ההסכמה של כל ההרכב על הצורך בכללים כתובים רלוונטית במיוחד ליישובים ערביים, שבהם חיפוש שנראה אקראי נחווה לעיתים קרובות כמכוון.</w:t>
      </w:r>
    </w:p>
    <w:p>
      <w:pPr>
        <w:bidi/>
        <w:spacing w:after="120" w:line="360"/>
        <w:ind w:firstLine="0"/>
        <w:jc w:val="both"/>
      </w:pPr>
      <w:r>
        <w:rPr>
          <w:rFonts w:ascii="Times New Roman" w:cs="David" w:eastAsia="David" w:hAnsi="Times New Roman"/>
          <w:sz w:val="24"/>
          <w:szCs w:val="24"/>
          <w:rtl/>
        </w:rPr>
        <w:t xml:space="preserve">המקרה של קסאי ממחיש את אותה בעיה ברמת המפגש הבודד. פקחים בחוף הים בחיפה עיכבו אדם על סמך דיווח על "אדם ממוצא אתיופי הרכוב על אופניים" ועל חשד מעורפל לשוד קשישים שעוד לא התרחש. בית המשפט קבע שתיאור חיצוני כללי כזה, שעשוי להתאים לרבים, אינו מקים סמכות עיכוב, והעיר על "הקלות הבלתי נסבלת" של הפיכת אדם לחשוד כשאחד המאפיינים שנמסרו עליו הוא מוצאו. המערער זוכה מעבירת החזקת הסכין.</w:t>
      </w:r>
      <w:r>
        <w:rPr>
          <w:rStyle w:val="FootnoteReference"/>
        </w:rPr>
        <w:footnoteReference w:id="82"/>
      </w:r>
      <w:r>
        <w:rPr>
          <w:rFonts w:ascii="Times New Roman" w:cs="David" w:eastAsia="David" w:hAnsi="Times New Roman"/>
          <w:sz w:val="24"/>
          <w:szCs w:val="24"/>
          <w:rtl/>
        </w:rPr>
        <w:t xml:space="preserve"> המקרה אינו עוסק בחברה הערבית, אבל ההיגיון שלו חל עליה ישירות: כשהזהות הקבוצתית ממלאת את החלל שהיה אמור למלא חשד קונקרטי, העיכוב הופך לתיוג.</w:t>
      </w:r>
    </w:p>
    <w:p>
      <w:pPr>
        <w:bidi/>
        <w:spacing w:after="120" w:line="360"/>
        <w:ind w:firstLine="0"/>
        <w:jc w:val="both"/>
      </w:pPr>
      <w:r>
        <w:rPr>
          <w:rFonts w:ascii="Times New Roman" w:cs="David" w:eastAsia="David" w:hAnsi="Times New Roman"/>
          <w:sz w:val="24"/>
          <w:szCs w:val="24"/>
          <w:rtl/>
        </w:rPr>
        <w:t xml:space="preserve">נקודת תורפה נוספת היא ההסכמה. בעניין בן חיים נקבע שחיפוש בהסכמה כשר רק אם ההסכמה מדעת, ושעל השוטר להבהיר לאדם שהוא רשאי לסרב ושהסירוב לא ייזקף לחובתו.</w:t>
      </w:r>
      <w:r>
        <w:rPr>
          <w:rStyle w:val="FootnoteReference"/>
        </w:rPr>
        <w:footnoteReference w:id="83"/>
      </w:r>
      <w:r>
        <w:rPr>
          <w:rFonts w:ascii="Times New Roman" w:cs="David" w:eastAsia="David" w:hAnsi="Times New Roman"/>
          <w:sz w:val="24"/>
          <w:szCs w:val="24"/>
          <w:rtl/>
        </w:rPr>
        <w:t xml:space="preserve"> הרמלין מטיל ספק בכך שהסכמה אמיתית אפשרית בכלל במפגש עם שוטרים חמושים, בפערי כוח מובנים.</w:t>
      </w:r>
      <w:r>
        <w:rPr>
          <w:rStyle w:val="FootnoteReference"/>
        </w:rPr>
        <w:footnoteReference w:id="84"/>
      </w:r>
      <w:r>
        <w:rPr>
          <w:rFonts w:ascii="Times New Roman" w:cs="David" w:eastAsia="David" w:hAnsi="Times New Roman"/>
          <w:sz w:val="24"/>
          <w:szCs w:val="24"/>
          <w:rtl/>
        </w:rPr>
        <w:t xml:space="preserve"> הרדוף מוסיף שחפים מפשע מסכימים לחיפוש משום שאינם מאמינים שיוכלו לסרב או משום שהם רוצים לסיים את המפגש מהר, ושהפגיעה הזו כמעט אינה מגיעה לבית המשפט, כי ברוב המקרים לא מוגש כתב אישום.</w:t>
      </w:r>
      <w:r>
        <w:rPr>
          <w:rStyle w:val="FootnoteReference"/>
        </w:rPr>
        <w:footnoteReference w:id="85"/>
      </w:r>
      <w:r>
        <w:rPr>
          <w:rFonts w:ascii="Times New Roman" w:cs="David" w:eastAsia="David" w:hAnsi="Times New Roman"/>
          <w:sz w:val="24"/>
          <w:szCs w:val="24"/>
          <w:rtl/>
        </w:rPr>
        <w:t xml:space="preserve"> מכאן שדווקא החיפושים שלא מצאו דבר, אלה שאינם מופיעים בשום סטטיסטיקה של אכיפה, הם שמעצבים את היחס של צעירים למשטרה.</w:t>
      </w:r>
    </w:p>
    <w:p>
      <w:pPr>
        <w:bidi/>
        <w:spacing w:after="120" w:line="360"/>
        <w:ind w:firstLine="0"/>
        <w:jc w:val="both"/>
      </w:pPr>
      <w:r>
        <w:rPr>
          <w:rFonts w:ascii="Times New Roman" w:cs="David" w:eastAsia="David" w:hAnsi="Times New Roman"/>
          <w:sz w:val="24"/>
          <w:szCs w:val="24"/>
          <w:rtl/>
        </w:rPr>
        <w:t xml:space="preserve">הדרישה להזדהות היא מהמפגשים השכיחים ביותר בין שוטר לאזרח, ובה נקבע גבול חשוב. בעניין טבקה קבעה דעת הרוב שסעיף 2 לחוק החזקת תעודת זהות והצגתה מסמיך שוטר לדרוש תעודה מזהה גם בלי חשד סביר.</w:t>
      </w:r>
      <w:r>
        <w:rPr>
          <w:rStyle w:val="FootnoteReference"/>
        </w:rPr>
        <w:footnoteReference w:id="86"/>
      </w:r>
      <w:r>
        <w:rPr>
          <w:rFonts w:ascii="Times New Roman" w:cs="David" w:eastAsia="David" w:hAnsi="Times New Roman"/>
          <w:sz w:val="24"/>
          <w:szCs w:val="24"/>
          <w:rtl/>
        </w:rPr>
        <w:t xml:space="preserve"> עם זאת, הסמכות הוגבלה: היא מותנית בצורך ספציפי לברר את המידע שבתעודה, והדרישה נחשבת "עיכוב" שחלות עליו הוראות פרק ג' לחוק המעצרים. השוטר אינו רשאי להמשיך לעכב את האדם לצורך תשאול, בדיקה במסוף המשטרתי או בירור מול המוקד. הנשיאה חיות תיארה את הפעולות הנוספות האלה ככאלה שיש בהן "מימד נוסף של השפלה", משום שהמשך הבירור מחזק את תיוגו של האדם כחשוד, והזהירה מפני שימוש בדרישה להזדהות ככלי ל"מסע דיג".</w:t>
      </w:r>
      <w:r>
        <w:rPr>
          <w:rStyle w:val="FootnoteReference"/>
        </w:rPr>
        <w:footnoteReference w:id="87"/>
      </w:r>
    </w:p>
    <w:p>
      <w:pPr>
        <w:bidi/>
        <w:spacing w:after="120" w:line="360"/>
        <w:ind w:firstLine="0"/>
        <w:jc w:val="both"/>
      </w:pPr>
      <w:r>
        <w:rPr>
          <w:rFonts w:ascii="Times New Roman" w:cs="David" w:eastAsia="David" w:hAnsi="Times New Roman"/>
          <w:sz w:val="24"/>
          <w:szCs w:val="24"/>
          <w:rtl/>
        </w:rPr>
        <w:t xml:space="preserve">בדיון הנוסף בעניין טבקה דחה המשנה לנשיאה הנדל את בקשות שני הצדדים. המדינה טענה שההלכה פוגעת ב"פעולות שיטור אלמנטריות". הנדל השיב שההלכה חלה רק כשהאדם מעוכב, ושהשאלה אם מותר לתשאל אדם או לבדוק פרט מידע ממוקד כשהוא "חופשי לעזוב" לא הוכרעה.</w:t>
      </w:r>
      <w:r>
        <w:rPr>
          <w:rStyle w:val="FootnoteReference"/>
        </w:rPr>
        <w:footnoteReference w:id="88"/>
      </w:r>
      <w:r>
        <w:rPr>
          <w:rFonts w:ascii="Times New Roman" w:cs="David" w:eastAsia="David" w:hAnsi="Times New Roman"/>
          <w:sz w:val="24"/>
          <w:szCs w:val="24"/>
          <w:rtl/>
        </w:rPr>
        <w:t xml:space="preserve"> ההבחנה נראית טכנית, אבל היא מחזירה את הדיון לבעיית ההסכמה: צעיר שנעצר ברחוב על ידי שוטרים כמעט אינו חווה את עצמו כ"חופשי לעזוב", גם אם כך הדבר מבחינה משפטית. הנדל עצמו כתב שהסמכות לעצור, לחקור או לעכב "דורשת מקור", וקרא למחוקק להסדיר במפורש את סמכויות התשאול ובירור המידע, כי מדובר ב"מגע הראשוני והבסיסי ביותר בין שוטר ואזרח". הוא הזכיר גם את ועדת פלמור, שמצאה חשש להפעלה סלקטיבית של הסמכות לדרוש הזדהות כלפי יוצאי אתיופיה והמליצה על נהלים שיבטיחו יישום שוויוני כלפי כל קבוצה שקיים חשש להפלייתה.</w:t>
      </w:r>
      <w:r>
        <w:rPr>
          <w:rStyle w:val="FootnoteReference"/>
        </w:rPr>
        <w:footnoteReference w:id="89"/>
      </w:r>
      <w:r>
        <w:rPr>
          <w:rFonts w:ascii="Times New Roman" w:cs="David" w:eastAsia="David" w:hAnsi="Times New Roman"/>
          <w:sz w:val="24"/>
          <w:szCs w:val="24"/>
          <w:rtl/>
        </w:rPr>
        <w:t xml:space="preserve"> בהמשך הבהיר בית המשפט שאין להסתפק ב"חשש" כללי כשהדין דורש יסוד סביר לחשד.</w:t>
      </w:r>
      <w:r>
        <w:rPr>
          <w:rStyle w:val="FootnoteReference"/>
        </w:rPr>
        <w:footnoteReference w:id="90"/>
      </w:r>
    </w:p>
    <w:p>
      <w:pPr>
        <w:pStyle w:val="Heading3"/>
        <w:bidi/>
        <w:spacing w:after="160" w:before="240"/>
        <w:jc w:val="right"/>
      </w:pPr>
      <w:r>
        <w:rPr>
          <w:rFonts w:ascii="Times New Roman" w:cs="David" w:eastAsia="David" w:hAnsi="Times New Roman"/>
          <w:b/>
          <w:bCs/>
          <w:sz w:val="24"/>
          <w:szCs w:val="24"/>
          <w:rtl/>
        </w:rPr>
        <w:t xml:space="preserve">ג. אמון כתנאי לדיווח</w:t>
      </w:r>
    </w:p>
    <w:p>
      <w:pPr>
        <w:bidi/>
        <w:spacing w:after="120" w:line="360"/>
        <w:ind w:firstLine="0"/>
        <w:jc w:val="both"/>
      </w:pPr>
      <w:r>
        <w:rPr>
          <w:rFonts w:ascii="Times New Roman" w:cs="David" w:eastAsia="David" w:hAnsi="Times New Roman"/>
          <w:sz w:val="24"/>
          <w:szCs w:val="24"/>
          <w:rtl/>
        </w:rPr>
        <w:t xml:space="preserve">שני הכשלים נפגשים בשאלת הדיווח. משטרה שאינה מקבלת מידע מהקהילה אינה יכולה לפענח אירועי ירי, והמידע תלוי באמון. פודם, דרעי וטולדנו מצביעים על הפער בין נקודת המבט של השוטר לזו של האזרח: פעולה שהשוטר רואה בה אכיפה יעילה עשויה להיתפס בעיני האזרח ככוחנית, ובירור הוגן של תלונות הציבור הוא אחד התנאים להגברת האמון.</w:t>
      </w:r>
      <w:r>
        <w:rPr>
          <w:rStyle w:val="FootnoteReference"/>
        </w:rPr>
        <w:footnoteReference w:id="91"/>
      </w:r>
      <w:r>
        <w:rPr>
          <w:rFonts w:ascii="Times New Roman" w:cs="David" w:eastAsia="David" w:hAnsi="Times New Roman"/>
          <w:sz w:val="24"/>
          <w:szCs w:val="24"/>
          <w:rtl/>
        </w:rPr>
        <w:t xml:space="preserve"> דרומי מדגיש שאכיפה שוויונית וקידום שיטור הוגן לא רק ישפרו את מצבם של האזרחים, אלא יגבירו את רמות הלגיטימציה שהמשטרה מקבלת, ובכך גם את רמות הציות של האוכלוסייה.</w:t>
      </w:r>
      <w:r>
        <w:rPr>
          <w:rStyle w:val="FootnoteReference"/>
        </w:rPr>
        <w:footnoteReference w:id="92"/>
      </w:r>
      <w:r>
        <w:rPr>
          <w:rFonts w:ascii="Times New Roman" w:cs="David" w:eastAsia="David" w:hAnsi="Times New Roman"/>
          <w:sz w:val="24"/>
          <w:szCs w:val="24"/>
          <w:rtl/>
        </w:rPr>
        <w:t xml:space="preserve"> הוא מביא את דברי ברק: "המשטרה ממונה על הגנת הזכויות. היא אינה מכשיר לצנזורה על דעות והשקפות".</w:t>
      </w:r>
      <w:r>
        <w:rPr>
          <w:rStyle w:val="FootnoteReference"/>
        </w:rPr>
        <w:footnoteReference w:id="93"/>
      </w:r>
    </w:p>
    <w:p>
      <w:pPr>
        <w:bidi/>
        <w:spacing w:after="120" w:line="360"/>
        <w:ind w:firstLine="0"/>
        <w:jc w:val="both"/>
      </w:pPr>
      <w:r>
        <w:rPr>
          <w:rFonts w:ascii="Times New Roman" w:cs="David" w:eastAsia="David" w:hAnsi="Times New Roman"/>
          <w:sz w:val="24"/>
          <w:szCs w:val="24"/>
          <w:rtl/>
        </w:rPr>
        <w:t xml:space="preserve">גם הדרך שבה המשטרה אוספת מידע משפיעה על המידע שיגיע אליה בעתיד. הרדוף מזהיר ששימוש במודיעים, בסוכנים סמויים ובאמצעי מעקב שאינם מוסדרים בחוק עלול לסדוק את האמון החברתי.</w:t>
      </w:r>
      <w:r>
        <w:rPr>
          <w:rStyle w:val="FootnoteReference"/>
        </w:rPr>
        <w:footnoteReference w:id="94"/>
      </w:r>
      <w:r>
        <w:rPr>
          <w:rFonts w:ascii="Times New Roman" w:cs="David" w:eastAsia="David" w:hAnsi="Times New Roman"/>
          <w:sz w:val="24"/>
          <w:szCs w:val="24"/>
          <w:rtl/>
        </w:rPr>
        <w:t xml:space="preserve"> ההגנה המשפטית על מדווחים מוגבלת. ברק-ארז מראה שבתי המשפט שקלו את השפעת זכות העיון על נכונותם של צדדים שלישיים למסור מידע לרשויות, והגנו בעיקר על זהותם של מודיעים משטרתיים. בעניין חילף נדחתה עתירה של אדם שנחקר לחשוף את שמו של מי שמסר עליו מידע.</w:t>
      </w:r>
      <w:r>
        <w:rPr>
          <w:rStyle w:val="FootnoteReference"/>
        </w:rPr>
        <w:footnoteReference w:id="95"/>
      </w:r>
      <w:r>
        <w:rPr>
          <w:rFonts w:ascii="Times New Roman" w:cs="David" w:eastAsia="David" w:hAnsi="Times New Roman"/>
          <w:sz w:val="24"/>
          <w:szCs w:val="24"/>
          <w:rtl/>
        </w:rPr>
        <w:t xml:space="preserve"> פסיקה מאוחרת יותר סייגה את ההגנה וקבעה שאין די בהעלאת החשש מפני פגיעה בנכונות למסור מידע, במיוחד כשיש אינטרס ממשי בגילוי.</w:t>
      </w:r>
      <w:r>
        <w:rPr>
          <w:rStyle w:val="FootnoteReference"/>
        </w:rPr>
        <w:footnoteReference w:id="96"/>
      </w:r>
      <w:r>
        <w:rPr>
          <w:rFonts w:ascii="Times New Roman" w:cs="David" w:eastAsia="David" w:hAnsi="Times New Roman"/>
          <w:sz w:val="24"/>
          <w:szCs w:val="24"/>
          <w:rtl/>
        </w:rPr>
        <w:t xml:space="preserve"> זו הגנה שנקבעת בדיעבד ובכל מקרה לגופו, ולא מסגרת שמדווח יכול לסמוך עליה מראש. בקהילה קטנה, שבה החשש מחשיפה כמודיע ממשי, זה עשוי להיות ההבדל בין דיווח לשתיקה.</w:t>
      </w:r>
    </w:p>
    <w:p>
      <w:pPr>
        <w:bidi/>
        <w:spacing w:after="120" w:line="360"/>
        <w:ind w:firstLine="0"/>
        <w:jc w:val="both"/>
      </w:pPr>
      <w:r>
        <w:rPr>
          <w:rFonts w:ascii="Times New Roman" w:cs="David" w:eastAsia="David" w:hAnsi="Times New Roman"/>
          <w:sz w:val="24"/>
          <w:szCs w:val="24"/>
          <w:rtl/>
        </w:rPr>
        <w:t xml:space="preserve">אין בחומר שנאסף הסדר חקיקתי של חובת דיווח, של מנגנון דיווח חסוי או של הגנה על מדווחים, וגם לא מודל מוסדי לשיתוף פעולה עם הנהגות מקומיות בחברה הערבית. נייר העמדה של הפורום מזכיר את החלטת ממשלה 852 של הממשלה ה-36, שביקשה לחזק את האכיפה בחברה הערבית על בסיס שיתוף פעולה עם ההנהגה והציבור הערבי ואמצעים מניעתיים, כדי להגביר את הלגיטימציה, אך מציין שהיא לא הגיעה לכדי יישום.</w:t>
      </w:r>
      <w:r>
        <w:rPr>
          <w:rStyle w:val="FootnoteReference"/>
        </w:rPr>
        <w:footnoteReference w:id="97"/>
      </w:r>
    </w:p>
    <w:p>
      <w:pPr>
        <w:pStyle w:val="Heading1"/>
        <w:pageBreakBefore/>
        <w:bidi/>
        <w:spacing w:after="160" w:before="240"/>
        <w:jc w:val="center"/>
      </w:pPr>
      <w:r>
        <w:rPr>
          <w:rFonts w:ascii="Times New Roman" w:cs="David" w:eastAsia="David" w:hAnsi="Times New Roman"/>
          <w:b/>
          <w:bCs/>
          <w:sz w:val="32"/>
          <w:szCs w:val="32"/>
          <w:rtl/>
        </w:rPr>
        <w:t xml:space="preserve">פרק ה: אחריותיות ופיקוח</w:t>
      </w:r>
    </w:p>
    <w:p>
      <w:pPr>
        <w:pStyle w:val="Heading2"/>
        <w:bidi/>
        <w:spacing w:after="160" w:before="240"/>
        <w:jc w:val="right"/>
      </w:pPr>
      <w:r>
        <w:rPr>
          <w:rFonts w:ascii="Times New Roman" w:cs="David" w:eastAsia="David" w:hAnsi="Times New Roman"/>
          <w:b/>
          <w:bCs/>
          <w:sz w:val="28"/>
          <w:szCs w:val="28"/>
          <w:rtl/>
        </w:rPr>
        <w:t xml:space="preserve">1. אחריות נזיקית של המשטרה בישראל</w:t>
      </w:r>
    </w:p>
    <w:p>
      <w:pPr>
        <w:bidi/>
        <w:spacing w:after="120" w:line="360"/>
        <w:ind w:firstLine="0"/>
        <w:jc w:val="both"/>
      </w:pPr>
      <w:r>
        <w:rPr>
          <w:rFonts w:ascii="Times New Roman" w:cs="David" w:eastAsia="David" w:hAnsi="Times New Roman"/>
          <w:sz w:val="24"/>
          <w:szCs w:val="24"/>
          <w:rtl/>
        </w:rPr>
        <w:t xml:space="preserve">המשפט הישראלי מחמיר עם המשטרה יותר מהמשפט האנגלי והאמריקאי. סגל מוצא שבניגוד לארצות הברית ולאנגליה, בישראל ניכרת מגמה של אחריות נזיקית רחבה של רשויות ציבוריות, גם בפעילות של כוחות הביטחון וההצלה.</w:t>
      </w:r>
      <w:r>
        <w:rPr>
          <w:rStyle w:val="FootnoteReference"/>
        </w:rPr>
        <w:footnoteReference w:id="98"/>
      </w:r>
      <w:r>
        <w:rPr>
          <w:rFonts w:ascii="Times New Roman" w:cs="David" w:eastAsia="David" w:hAnsi="Times New Roman"/>
          <w:sz w:val="24"/>
          <w:szCs w:val="24"/>
          <w:rtl/>
        </w:rPr>
        <w:t xml:space="preserve"> בין הדוגמאות שהוא מביא נמצאת תביעה של אדם שנדקר בערב ל"ג בעומר, בטענה שהמשטרה התרשלה בפריסת כוחותיה באותו ערב.</w:t>
      </w:r>
      <w:r>
        <w:rPr>
          <w:rStyle w:val="FootnoteReference"/>
        </w:rPr>
        <w:footnoteReference w:id="99"/>
      </w:r>
      <w:r>
        <w:rPr>
          <w:rFonts w:ascii="Times New Roman" w:cs="David" w:eastAsia="David" w:hAnsi="Times New Roman"/>
          <w:sz w:val="24"/>
          <w:szCs w:val="24"/>
          <w:rtl/>
        </w:rPr>
        <w:t xml:space="preserve"> זו טענה של שיטור חסר, והעובדה שהיא נדונה כעילת רשלנות מלמדת שבישראל הדלת לביקורת כזו אינה סגורה. הבסיס לכך בחוק: סעיף 3 לחוק הנזיקים האזרחיים (אחריות המדינה) פוטר את המדינה מאחריות למעשה שנעשה בתחום הרשאה חוקית או מתוך אמונה סבירה ובתום לב בקיומה, אך קובע במפורש ש"אחראית היא על רשלנות שבמעשה".</w:t>
      </w:r>
      <w:r>
        <w:rPr>
          <w:rStyle w:val="FootnoteReference"/>
        </w:rPr>
        <w:footnoteReference w:id="100"/>
      </w:r>
      <w:r>
        <w:rPr>
          <w:rFonts w:ascii="Times New Roman" w:cs="David" w:eastAsia="David" w:hAnsi="Times New Roman"/>
          <w:sz w:val="24"/>
          <w:szCs w:val="24"/>
          <w:rtl/>
        </w:rPr>
        <w:t xml:space="preserve"> לפי סגל, הסעיף מחדד את מעמדה של עוולת הרשלנות מול עוולות אחרות, משום שהיא נותרת מחוץ לגבולות החסינות.</w:t>
      </w:r>
      <w:r>
        <w:rPr>
          <w:rStyle w:val="FootnoteReference"/>
        </w:rPr>
        <w:footnoteReference w:id="101"/>
      </w:r>
    </w:p>
    <w:p>
      <w:pPr>
        <w:bidi/>
        <w:spacing w:after="120" w:line="360"/>
        <w:ind w:firstLine="0"/>
        <w:jc w:val="both"/>
      </w:pPr>
      <w:r>
        <w:rPr>
          <w:rFonts w:ascii="Times New Roman" w:cs="David" w:eastAsia="David" w:hAnsi="Times New Roman"/>
          <w:sz w:val="24"/>
          <w:szCs w:val="24"/>
          <w:rtl/>
        </w:rPr>
        <w:t xml:space="preserve">עם זאת, הדלת פתוחה פחות ממה שנראה. בטבלאות של סגל, בקטגוריה של אי-מניעת התנהגות מזיקה שביצע אדם אחר, רוב פסקי הדין הישראליים לא הטילו אחריות. כך, בעניין פלונים נדחה ערעורם של נפגעי הונאת פונזי שטענו שהמשטרה ורשויות אחרות לא פעלו בזמן, ונקבע שהרשויות לא פעלו בחוסר סבירות קיצונית.</w:t>
      </w:r>
      <w:r>
        <w:rPr>
          <w:rStyle w:val="FootnoteReference"/>
        </w:rPr>
        <w:footnoteReference w:id="102"/>
      </w:r>
      <w:r>
        <w:rPr>
          <w:rFonts w:ascii="Times New Roman" w:cs="David" w:eastAsia="David" w:hAnsi="Times New Roman"/>
          <w:sz w:val="24"/>
          <w:szCs w:val="24"/>
          <w:rtl/>
        </w:rPr>
        <w:t xml:space="preserve"> גם המשפט הישראלי מבחין בין קביעת סדרי עדיפויות, שהיא עניין של שיקול דעת רחב ושל מדיניות, לבין ביצוע פעולה משטרתית קונקרטית, שמקימה חובת זהירות כלפי מושאה.</w:t>
      </w:r>
      <w:r>
        <w:rPr>
          <w:rStyle w:val="FootnoteReference"/>
        </w:rPr>
        <w:footnoteReference w:id="103"/>
      </w:r>
      <w:r>
        <w:rPr>
          <w:rFonts w:ascii="Times New Roman" w:cs="David" w:eastAsia="David" w:hAnsi="Times New Roman"/>
          <w:sz w:val="24"/>
          <w:szCs w:val="24"/>
          <w:rtl/>
        </w:rPr>
        <w:t xml:space="preserve"> סבירות התנהגותה של המשטרה נבחנת לפי הנתונים שעמדו לפניה בזמן אמת, ולא בחוכמה שלאחר מעשה.</w:t>
      </w:r>
      <w:r>
        <w:rPr>
          <w:rStyle w:val="FootnoteReference"/>
        </w:rPr>
        <w:footnoteReference w:id="104"/>
      </w:r>
      <w:r>
        <w:rPr>
          <w:rFonts w:ascii="Times New Roman" w:cs="David" w:eastAsia="David" w:hAnsi="Times New Roman"/>
          <w:sz w:val="24"/>
          <w:szCs w:val="24"/>
          <w:rtl/>
        </w:rPr>
        <w:t xml:space="preserve"> ההחלטה כמה חוקרים להקצות לאירועי ירי ביישוב ערבי נמצאת כמעט כולה בצד של המדיניות, שבו הביקורת המשפטית מוגבלת.</w:t>
      </w:r>
    </w:p>
    <w:p>
      <w:pPr>
        <w:bidi/>
        <w:spacing w:after="120" w:line="360"/>
        <w:ind w:firstLine="0"/>
        <w:jc w:val="both"/>
      </w:pPr>
      <w:r>
        <w:rPr>
          <w:rFonts w:ascii="Times New Roman" w:cs="David" w:eastAsia="David" w:hAnsi="Times New Roman"/>
          <w:sz w:val="24"/>
          <w:szCs w:val="24"/>
          <w:rtl/>
        </w:rPr>
        <w:t xml:space="preserve">גלעד מציע שיקול שפועל בכיוון ההפוך. לדבריו, חומרתו של מחדל רשות גדלה כשיש לה "מונופול" על השליטה בסיכון, כמו המונופול המשטרתי על מניעת עבירות, לעומת מצב שבו לניזוק ולגורמים אחרים יש יכולת לשלוט בסיכון בעצמם.</w:t>
      </w:r>
      <w:r>
        <w:rPr>
          <w:rStyle w:val="FootnoteReference"/>
        </w:rPr>
        <w:footnoteReference w:id="105"/>
      </w:r>
      <w:r>
        <w:rPr>
          <w:rFonts w:ascii="Times New Roman" w:cs="David" w:eastAsia="David" w:hAnsi="Times New Roman"/>
          <w:sz w:val="24"/>
          <w:szCs w:val="24"/>
          <w:rtl/>
        </w:rPr>
        <w:t xml:space="preserve"> דרומי מגיע למסקנה דומה בהקשר של הפגנות: למשטרה יש מונופול על הכוח ועל האחריות לסדר הציבורי, ולכן יש לראות בה בעלת שליטה מלאה ואפקטיבית במרחב הציבורי.</w:t>
      </w:r>
      <w:r>
        <w:rPr>
          <w:rStyle w:val="FootnoteReference"/>
        </w:rPr>
        <w:footnoteReference w:id="106"/>
      </w:r>
      <w:r>
        <w:rPr>
          <w:rFonts w:ascii="Times New Roman" w:cs="David" w:eastAsia="David" w:hAnsi="Times New Roman"/>
          <w:sz w:val="24"/>
          <w:szCs w:val="24"/>
          <w:rtl/>
        </w:rPr>
        <w:t xml:space="preserve"> ביישוב שבו התושבים אינם רשאים להתגונן בעצמם מפני ארגוני פשיעה, שיטור חסר הוא בדיוק מחדל של בעל מונופול. הטיעון הזה אינו מחייב להטיל אחריות על כל פשע שלא נמנע. הוא מצדיק לבחון בזהירות רבה יותר מצבים שבהם המשטרה ידעה על סיכון קונקרטי לאדם מסוים ולא פעלה.</w:t>
      </w:r>
    </w:p>
    <w:p>
      <w:pPr>
        <w:pStyle w:val="Heading2"/>
        <w:bidi/>
        <w:spacing w:after="160" w:before="240"/>
        <w:jc w:val="right"/>
      </w:pPr>
      <w:r>
        <w:rPr>
          <w:rFonts w:ascii="Times New Roman" w:cs="David" w:eastAsia="David" w:hAnsi="Times New Roman"/>
          <w:b/>
          <w:bCs/>
          <w:sz w:val="28"/>
          <w:szCs w:val="28"/>
          <w:rtl/>
        </w:rPr>
        <w:t xml:space="preserve">2. תרופה למי שנפגע משיטור יתר</w:t>
      </w:r>
    </w:p>
    <w:p>
      <w:pPr>
        <w:bidi/>
        <w:spacing w:after="120" w:line="360"/>
        <w:ind w:firstLine="0"/>
        <w:jc w:val="both"/>
      </w:pPr>
      <w:r>
        <w:rPr>
          <w:rFonts w:ascii="Times New Roman" w:cs="David" w:eastAsia="David" w:hAnsi="Times New Roman"/>
          <w:sz w:val="24"/>
          <w:szCs w:val="24"/>
          <w:rtl/>
        </w:rPr>
        <w:t xml:space="preserve">למי שנפגע מחיפוש או מעיכוב שלא כדין ולא הואשם בדבר עומדות תרופות מוגבלות. ברק מסביר שעיכוב אדם בידי שוטר בלי סמכות כדין הוא פגיעה פיזית בחירות.</w:t>
      </w:r>
      <w:r>
        <w:rPr>
          <w:rStyle w:val="FootnoteReference"/>
        </w:rPr>
        <w:footnoteReference w:id="107"/>
      </w:r>
      <w:r>
        <w:rPr>
          <w:rFonts w:ascii="Times New Roman" w:cs="David" w:eastAsia="David" w:hAnsi="Times New Roman"/>
          <w:sz w:val="24"/>
          <w:szCs w:val="24"/>
          <w:rtl/>
        </w:rPr>
        <w:t xml:space="preserve"> במשפט האמריקאי יש לפגיעה כזו תרופה חוקתית ישירה, ואילו בישראל התרופה עוברת דרך המשפט הפרטי ודיני הנזיקין, שעליהם להתאים את עצמם לחוק-יסוד: כבוד האדם וחירותו.</w:t>
      </w:r>
      <w:r>
        <w:rPr>
          <w:rStyle w:val="FootnoteReference"/>
        </w:rPr>
        <w:footnoteReference w:id="108"/>
      </w:r>
      <w:r>
        <w:rPr>
          <w:rFonts w:ascii="Times New Roman" w:cs="David" w:eastAsia="David" w:hAnsi="Times New Roman"/>
          <w:sz w:val="24"/>
          <w:szCs w:val="24"/>
          <w:rtl/>
        </w:rPr>
        <w:t xml:space="preserve"> הדרך הזו אינה תיאורטית לגמרי. בעניין בוסקילה הוטלה אחריות על המדינה לאחר שהמשטרה מנעה מהתובע לקטוף יבול מחלקתו, הוציאה נגדו צו מעצר לפני שהוזמן לחקירה ועצרה אותו, ונפסק פיצוי בגין הפגיעה בזכות לקניין ולחופש תנועה.</w:t>
      </w:r>
      <w:r>
        <w:rPr>
          <w:rStyle w:val="FootnoteReference"/>
        </w:rPr>
        <w:footnoteReference w:id="109"/>
      </w:r>
    </w:p>
    <w:p>
      <w:pPr>
        <w:bidi/>
        <w:spacing w:after="120" w:line="360"/>
        <w:ind w:firstLine="0"/>
        <w:jc w:val="both"/>
      </w:pPr>
      <w:r>
        <w:rPr>
          <w:rFonts w:ascii="Times New Roman" w:cs="David" w:eastAsia="David" w:hAnsi="Times New Roman"/>
          <w:sz w:val="24"/>
          <w:szCs w:val="24"/>
          <w:rtl/>
        </w:rPr>
        <w:t xml:space="preserve">בפועל, מי שכבר אינו סומך על המשטרה לא ימהר להגיש נגדה תביעה, ולכן כלל הפסילה בהליך הפלילי נשאר התרופה העיקרית, והוא מגן רק על מי שהועמד לדין. דרומי מוסיף שעמידתם של נפגעים על זכותם לפיצוי אינה רק מאבק על רמת החופש במדינה, אלא גם חלק מהמאבק על הלגיטימיות של תוכן המחאה שלהם, ושאכיפה שוויונית ושיטור הוגן יגבירו את הלגיטימציה של המשטרה עצמה. לכן, לדבריו, שינוי מהסוג הזה הוא אינטרס ראשון במעלה של המשטרה ולא רק של המפגינים.</w:t>
      </w:r>
      <w:r>
        <w:rPr>
          <w:rStyle w:val="FootnoteReference"/>
        </w:rPr>
        <w:footnoteReference w:id="110"/>
      </w:r>
    </w:p>
    <w:p>
      <w:pPr>
        <w:pStyle w:val="Heading2"/>
        <w:bidi/>
        <w:spacing w:after="160" w:before="240"/>
        <w:jc w:val="right"/>
      </w:pPr>
      <w:r>
        <w:rPr>
          <w:rFonts w:ascii="Times New Roman" w:cs="David" w:eastAsia="David" w:hAnsi="Times New Roman"/>
          <w:b/>
          <w:bCs/>
          <w:sz w:val="28"/>
          <w:szCs w:val="28"/>
          <w:rtl/>
        </w:rPr>
        <w:t xml:space="preserve">3. פיקוח, שקיפות ובירור תלונות</w:t>
      </w:r>
    </w:p>
    <w:p>
      <w:pPr>
        <w:bidi/>
        <w:spacing w:after="120" w:line="360"/>
        <w:ind w:firstLine="0"/>
        <w:jc w:val="both"/>
      </w:pPr>
      <w:r>
        <w:rPr>
          <w:rFonts w:ascii="Times New Roman" w:cs="David" w:eastAsia="David" w:hAnsi="Times New Roman"/>
          <w:sz w:val="24"/>
          <w:szCs w:val="24"/>
          <w:rtl/>
        </w:rPr>
        <w:t xml:space="preserve">מנגנוני הבקרה והפיקוח הם חלק מתפיסת הדיווחיות והאחריותיות בדיעבד של כוחות השיטור, כלפי גורמים מקצועיים וכלפי הציבור. נייר העמדה של הפורום מדגיש שהם נועדו להבטיח את זכויות האזרח, ובמקביל הם מסייעים לייעל את הפעלת הכוח המשטרתי, כי הם עוזרים למפקד להבטיח שפקודותיו ימולאו.</w:t>
      </w:r>
      <w:r>
        <w:rPr>
          <w:rStyle w:val="FootnoteReference"/>
        </w:rPr>
        <w:footnoteReference w:id="111"/>
      </w:r>
      <w:r>
        <w:rPr>
          <w:rFonts w:ascii="Times New Roman" w:cs="David" w:eastAsia="David" w:hAnsi="Times New Roman"/>
          <w:sz w:val="24"/>
          <w:szCs w:val="24"/>
          <w:rtl/>
        </w:rPr>
        <w:t xml:space="preserve"> הפורום מביא את אזהרתו של רואץ': "</w:t>
      </w:r>
      <w:r>
        <w:rPr>
          <w:rFonts w:ascii="Times New Roman" w:cs="David" w:eastAsia="David" w:hAnsi="Times New Roman"/>
          <w:sz w:val="24"/>
          <w:szCs w:val="24"/>
          <w:rtl w:val="false"/>
        </w:rPr>
        <w:t xml:space="preserve">A democracy that does not hold its police accountable can become a police state</w:t>
      </w:r>
      <w:r>
        <w:rPr>
          <w:rFonts w:ascii="Times New Roman" w:cs="David" w:eastAsia="David" w:hAnsi="Times New Roman"/>
          <w:sz w:val="24"/>
          <w:szCs w:val="24"/>
          <w:rtl/>
        </w:rPr>
        <w:t xml:space="preserve">".</w:t>
      </w:r>
      <w:r>
        <w:rPr>
          <w:rStyle w:val="FootnoteReference"/>
        </w:rPr>
        <w:footnoteReference w:id="112"/>
      </w:r>
      <w:r>
        <w:rPr>
          <w:rFonts w:ascii="Times New Roman" w:cs="David" w:eastAsia="David" w:hAnsi="Times New Roman"/>
          <w:sz w:val="24"/>
          <w:szCs w:val="24"/>
          <w:rtl/>
        </w:rPr>
        <w:t xml:space="preserve"> הפורום רואה במערכת אפקטיבית לבדיקת תלונות נגד שוטרים חלק מאחריותה של המשטרה עצמה.</w:t>
      </w:r>
      <w:r>
        <w:rPr>
          <w:rStyle w:val="FootnoteReference"/>
        </w:rPr>
        <w:footnoteReference w:id="113"/>
      </w:r>
    </w:p>
    <w:p>
      <w:pPr>
        <w:bidi/>
        <w:spacing w:after="120" w:line="360"/>
        <w:ind w:firstLine="0"/>
        <w:jc w:val="both"/>
      </w:pPr>
      <w:r>
        <w:rPr>
          <w:rFonts w:ascii="Times New Roman" w:cs="David" w:eastAsia="David" w:hAnsi="Times New Roman"/>
          <w:sz w:val="24"/>
          <w:szCs w:val="24"/>
          <w:rtl/>
        </w:rPr>
        <w:t xml:space="preserve">הרדוף מראה שהיעדר בקרה יוצר גירעון ממשי באחריותיות. חלק גדול מהתנהלות המשטרה סמוי מן העין, ומעין "משפט סודי" משפיע על פרטים בלי שאיש יכול לבדוק אותו. הוא מציע להגביר את השקיפות, למשל באמצעות הנחיות מפורטות ודוחות תקופתיים, כדי לאפשר בקרה ציבורית ותקשורתית.</w:t>
      </w:r>
      <w:r>
        <w:rPr>
          <w:rStyle w:val="FootnoteReference"/>
        </w:rPr>
        <w:footnoteReference w:id="114"/>
      </w:r>
      <w:r>
        <w:rPr>
          <w:rFonts w:ascii="Times New Roman" w:cs="David" w:eastAsia="David" w:hAnsi="Times New Roman"/>
          <w:sz w:val="24"/>
          <w:szCs w:val="24"/>
          <w:rtl/>
        </w:rPr>
        <w:t xml:space="preserve"> כלי נוסף הוא מצלמות גוף. קדוש נוסבאום מציינת שבכמה מחקרים נמצא ששימוש במצלמות גוף הביא לירידה בהפעלת כוח בידי שוטרים ולצמצום מספר התלונות שהוגשו נגדם.</w:t>
      </w:r>
      <w:r>
        <w:rPr>
          <w:rStyle w:val="FootnoteReference"/>
        </w:rPr>
        <w:footnoteReference w:id="115"/>
      </w:r>
      <w:r>
        <w:rPr>
          <w:rFonts w:ascii="Times New Roman" w:cs="David" w:eastAsia="David" w:hAnsi="Times New Roman"/>
          <w:sz w:val="24"/>
          <w:szCs w:val="24"/>
          <w:rtl/>
        </w:rPr>
        <w:t xml:space="preserve"> מצלמות כאלה הן גם כלי מעקב, ולכן השימוש בהן מחייב הסדרה בחוק, כפי שהוצג בפרק השלישי.</w:t>
      </w:r>
    </w:p>
    <w:p>
      <w:pPr>
        <w:pStyle w:val="Heading1"/>
        <w:pageBreakBefore/>
        <w:bidi/>
        <w:spacing w:after="160" w:before="240"/>
        <w:jc w:val="center"/>
      </w:pPr>
      <w:r>
        <w:rPr>
          <w:rFonts w:ascii="Times New Roman" w:cs="David" w:eastAsia="David" w:hAnsi="Times New Roman"/>
          <w:b/>
          <w:bCs/>
          <w:sz w:val="32"/>
          <w:szCs w:val="32"/>
          <w:rtl/>
        </w:rPr>
        <w:t xml:space="preserve">סיכום והמלצות</w:t>
      </w:r>
    </w:p>
    <w:p>
      <w:pPr>
        <w:bidi/>
        <w:spacing w:after="120" w:line="360"/>
        <w:ind w:firstLine="0"/>
        <w:jc w:val="both"/>
      </w:pPr>
      <w:r>
        <w:rPr>
          <w:rFonts w:ascii="Times New Roman" w:cs="David" w:eastAsia="David" w:hAnsi="Times New Roman"/>
          <w:sz w:val="24"/>
          <w:szCs w:val="24"/>
          <w:rtl/>
        </w:rPr>
        <w:t xml:space="preserve">העבודה שאלה אם רפורמה שנועדה להפוך את המשטרה לאפקטיבית יותר יכולה להצליח בחברה הערבית, ובמיוחד בקרב צעירים בני 18 עד 24. החומר שנאסף אינו מאפשר לקבוע אם אמו"ן הפחיתה עבריינות או הגבירה אמון, משום שחסרים בו נתוני בסיס, קבוצת השוואה ונתונים מפולחים לפי גיל ולאום. הוא כן מאפשר לקבוע באילו תנאים רפורמה כזו יכולה להצליח.</w:t>
      </w:r>
    </w:p>
    <w:p>
      <w:pPr>
        <w:bidi/>
        <w:spacing w:after="120" w:line="360"/>
        <w:ind w:firstLine="0"/>
        <w:jc w:val="both"/>
      </w:pPr>
      <w:r>
        <w:rPr>
          <w:rFonts w:ascii="Times New Roman" w:cs="David" w:eastAsia="David" w:hAnsi="Times New Roman"/>
          <w:sz w:val="24"/>
          <w:szCs w:val="24"/>
          <w:rtl/>
        </w:rPr>
        <w:t xml:space="preserve">התנאי המרכזי הוא הבניית שיקול הדעת. הפסיקה, מעניין סויסא ועד עניין אלחננוב, רואה באמון הציבור תנאי לתפקוד המשטרה ולא תוצאה נלווית שלו. הפסיקה בענייני טבקה, זייצב וקסאי מראה שאמון נשחק דווקא במפגשים הקטנים: דרישה להזדהות שהופכת ל"מסע דיג", חיפוש אקראי בלי נוהל ועיכוב שנשען על מוצא. המשפט המשווה מראה שכללים ברורים במפגש בין שוטר לאזרח משרתים את שני הצדדים, ושהתמקצעות בלי קשר עם הקהילה יוצרת ניכור. ניתוח דיני הנזיקין מראה ששיטור חסר כמעט אינו נתון לביקורת משפטית, ולכן האחריותיות עליו צריכה לבוא ממדידה ומשקיפות. שיטור חסר ושיטור יתר אינם, אם כן, שני קצוות של סקאלה, אלא שתי תוצאות של אותו כשל: אכיפה שאינה מבוססת על מידע קונקרטי ושאינה נשענת על אמון.</w:t>
      </w:r>
    </w:p>
    <w:p>
      <w:pPr>
        <w:bidi/>
        <w:spacing w:after="120" w:line="360"/>
        <w:ind w:firstLine="0"/>
        <w:jc w:val="both"/>
      </w:pPr>
      <w:r>
        <w:rPr>
          <w:rFonts w:ascii="Times New Roman" w:cs="David" w:eastAsia="David" w:hAnsi="Times New Roman"/>
          <w:sz w:val="24"/>
          <w:szCs w:val="24"/>
          <w:rtl/>
        </w:rPr>
        <w:t xml:space="preserve">מכאן כמה המלצות מעשיות:</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לעגן בנוהל כתוב ומפורסם אמות מידה לחיפושים ולעיכובים ביישובים ערביים, כפי שדרש בית המשפט בעניין זייצב, ולהחיל את חובת התיעוד שבסעיף 74 לחוק המעצרים גם על חיפושים שלא העלו ממצא.</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לפרסם דוחות תקופתיים על מדיניות האכיפה, כפי שמציע הרדוף, ובהם נתונים על מספר החיפושים והעיכובים לפי אזור ולפי גיל, ולא רק על מספר המעצרים וכתבי האישום.</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להנחות שוטרים למסור בכל חיפוש בהסכמה הודעה מפורשת על הזכות לסרב, כנדרש בעניין בן חיים, ולתעד את מסירתה.</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למדוד את הצלחת האכיפה גם בשיעור הפענוח של אירועי ירי ובמספר הפניות היזומות של תושבים למשטרה, ולא רק במדדי תפוקה.</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להפריד בין יחידות ואמצעים שמשמשים לסיכול טרור לבין יחידות שמטפלות בפשיעה אזרחית, כדי לצמצם את ההיגיון הצבאי שתיארה קדוש נוסבאום.</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להסדיר בחוק מנגנון דיווח חסוי והגנה על מדווחים, במקום ההגנה הפסיקתית החלקית שנקבעת בדיעבד.</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להסדיר בחוק את השימוש במצלמות גוף ובאמצעי מעקב, כך שיוכלו לשמש כלי בקרה על המשטרה ולא רק כלי מעקב על האזרחים.</w:t>
      </w:r>
    </w:p>
    <w:p>
      <w:pPr>
        <w:pStyle w:val="ListParagraph"/>
        <w:numPr>
          <w:ilvl w:val="0"/>
          <w:numId w:val="2"/>
        </w:numPr>
        <w:bidi/>
        <w:spacing w:after="120" w:line="360"/>
        <w:ind w:firstLine="0"/>
        <w:jc w:val="both"/>
      </w:pPr>
      <w:r>
        <w:rPr>
          <w:rFonts w:ascii="Times New Roman" w:cs="David" w:eastAsia="David" w:hAnsi="Times New Roman"/>
          <w:sz w:val="24"/>
          <w:szCs w:val="24"/>
          <w:rtl/>
        </w:rPr>
        <w:t xml:space="preserve">להשלים את המחקר בנתונים אמפיריים מפולחים לפי גיל ולאום, לפני ואחרי הרפורמה, כדי שניתן יהיה להעריך את אמו"ן לא רק לפי תפוקות האכיפה אלא לפי השפעתה על האמון ועל הביטחון האישי.</w:t>
      </w:r>
    </w:p>
    <w:p>
      <w:pPr>
        <w:bidi/>
        <w:spacing w:after="120" w:line="360"/>
        <w:ind w:firstLine="0"/>
        <w:jc w:val="both"/>
      </w:pPr>
      <w:r>
        <w:rPr>
          <w:rFonts w:ascii="Times New Roman" w:cs="David" w:eastAsia="David" w:hAnsi="Times New Roman"/>
          <w:sz w:val="24"/>
          <w:szCs w:val="24"/>
          <w:rtl/>
        </w:rPr>
        <w:t xml:space="preserve">כדברי הרדוף, הבקרה "אינה מעלימה את הכוח, אלא אך מצמצמת את הסיכוי לשימוש לא ראוי ולא מוצלח בו".</w:t>
      </w:r>
      <w:r>
        <w:rPr>
          <w:rStyle w:val="FootnoteReference"/>
        </w:rPr>
        <w:footnoteReference w:id="116"/>
      </w:r>
      <w:r>
        <w:rPr>
          <w:rFonts w:ascii="Times New Roman" w:cs="David" w:eastAsia="David" w:hAnsi="Times New Roman"/>
          <w:sz w:val="24"/>
          <w:szCs w:val="24"/>
          <w:rtl/>
        </w:rPr>
        <w:t xml:space="preserve"> רפורמה שיטורית בחברה הערבית תצליח אם תתייחס לבקרה ולאמון כחלק מהאפקטיביות, ולא כמגבלה עליה.</w:t>
      </w:r>
    </w:p>
    <w:p>
      <w:pPr>
        <w:pStyle w:val="Heading1"/>
        <w:pageBreakBefore/>
        <w:bidi/>
        <w:spacing w:after="160" w:before="240"/>
        <w:jc w:val="center"/>
      </w:pPr>
      <w:r>
        <w:rPr>
          <w:rFonts w:ascii="Times New Roman" w:cs="David" w:eastAsia="David" w:hAnsi="Times New Roman"/>
          <w:b/>
          <w:bCs/>
          <w:sz w:val="32"/>
          <w:szCs w:val="32"/>
          <w:rtl/>
        </w:rPr>
        <w:t xml:space="preserve">רשימת מקורות</w:t>
      </w:r>
    </w:p>
    <w:p>
      <w:pPr>
        <w:pStyle w:val="Heading2"/>
        <w:bidi/>
        <w:spacing w:after="160" w:before="240"/>
        <w:jc w:val="right"/>
      </w:pPr>
      <w:r>
        <w:rPr>
          <w:rFonts w:ascii="Times New Roman" w:cs="David" w:eastAsia="David" w:hAnsi="Times New Roman"/>
          <w:b/>
          <w:bCs/>
          <w:sz w:val="28"/>
          <w:szCs w:val="28"/>
          <w:rtl/>
        </w:rPr>
        <w:t xml:space="preserve">חקיקה ישראלית</w:t>
      </w:r>
    </w:p>
    <w:p>
      <w:pPr>
        <w:bidi/>
        <w:spacing w:after="100" w:line="276"/>
        <w:ind w:left="360" w:hanging="360"/>
        <w:jc w:val="both"/>
      </w:pPr>
      <w:r>
        <w:rPr>
          <w:rFonts w:ascii="Times New Roman" w:cs="David" w:eastAsia="David" w:hAnsi="Times New Roman"/>
          <w:sz w:val="24"/>
          <w:szCs w:val="24"/>
          <w:rtl/>
        </w:rPr>
        <w:t xml:space="preserve">חוק החזקת תעודת זהות והצגתה, התשמ"ג–1982</w:t>
      </w:r>
    </w:p>
    <w:p>
      <w:pPr>
        <w:bidi/>
        <w:spacing w:after="100" w:line="276"/>
        <w:ind w:left="360" w:hanging="360"/>
        <w:jc w:val="both"/>
      </w:pPr>
      <w:r>
        <w:rPr>
          <w:rFonts w:ascii="Times New Roman" w:cs="David" w:eastAsia="David" w:hAnsi="Times New Roman"/>
          <w:sz w:val="24"/>
          <w:szCs w:val="24"/>
          <w:rtl/>
        </w:rPr>
        <w:t xml:space="preserve">חוק הנזיקים האזרחיים (אחריות המדינה), התשי"ב–1952</w:t>
      </w:r>
    </w:p>
    <w:p>
      <w:pPr>
        <w:bidi/>
        <w:spacing w:after="100" w:line="276"/>
        <w:ind w:left="360" w:hanging="360"/>
        <w:jc w:val="both"/>
      </w:pPr>
      <w:r>
        <w:rPr>
          <w:rFonts w:ascii="Times New Roman" w:cs="David" w:eastAsia="David" w:hAnsi="Times New Roman"/>
          <w:sz w:val="24"/>
          <w:szCs w:val="24"/>
          <w:rtl/>
        </w:rPr>
        <w:t xml:space="preserve">חוק העונשין, התשל"ז–1977</w:t>
      </w:r>
    </w:p>
    <w:p>
      <w:pPr>
        <w:bidi/>
        <w:spacing w:after="100" w:line="276"/>
        <w:ind w:left="360" w:hanging="360"/>
        <w:jc w:val="both"/>
      </w:pPr>
      <w:r>
        <w:rPr>
          <w:rFonts w:ascii="Times New Roman" w:cs="David" w:eastAsia="David" w:hAnsi="Times New Roman"/>
          <w:sz w:val="24"/>
          <w:szCs w:val="24"/>
          <w:rtl/>
        </w:rPr>
        <w:t xml:space="preserve">חוק סדר הדין הפלילי (סמכויות אכיפה – מעצרים), התשנ"ו–1996</w:t>
      </w:r>
    </w:p>
    <w:p>
      <w:pPr>
        <w:bidi/>
        <w:spacing w:after="100" w:line="276"/>
        <w:ind w:left="360" w:hanging="360"/>
        <w:jc w:val="both"/>
      </w:pPr>
      <w:r>
        <w:rPr>
          <w:rFonts w:ascii="Times New Roman" w:cs="David" w:eastAsia="David" w:hAnsi="Times New Roman"/>
          <w:sz w:val="24"/>
          <w:szCs w:val="24"/>
          <w:rtl/>
        </w:rPr>
        <w:t xml:space="preserve">חוק סמכויות לשם שמירה על ביטחון הציבור, התשס"ה–2005</w:t>
      </w:r>
    </w:p>
    <w:p>
      <w:pPr>
        <w:bidi/>
        <w:spacing w:after="100" w:line="276"/>
        <w:ind w:left="360" w:hanging="360"/>
        <w:jc w:val="both"/>
      </w:pPr>
      <w:r>
        <w:rPr>
          <w:rFonts w:ascii="Times New Roman" w:cs="David" w:eastAsia="David" w:hAnsi="Times New Roman"/>
          <w:sz w:val="24"/>
          <w:szCs w:val="24"/>
          <w:rtl/>
        </w:rPr>
        <w:t xml:space="preserve">פקודת המשטרה [נוסח חדש], התשל"א–1971</w:t>
      </w:r>
    </w:p>
    <w:p>
      <w:pPr>
        <w:pStyle w:val="Heading2"/>
        <w:bidi/>
        <w:spacing w:after="160" w:before="240"/>
        <w:jc w:val="right"/>
      </w:pPr>
      <w:r>
        <w:rPr>
          <w:rFonts w:ascii="Times New Roman" w:cs="David" w:eastAsia="David" w:hAnsi="Times New Roman"/>
          <w:b/>
          <w:bCs/>
          <w:sz w:val="28"/>
          <w:szCs w:val="28"/>
          <w:rtl/>
        </w:rPr>
        <w:t xml:space="preserve">חקיקה זרה</w:t>
      </w:r>
    </w:p>
    <w:p>
      <w:pPr>
        <w:bidi/>
        <w:spacing w:after="100" w:line="276"/>
        <w:ind w:left="360" w:hanging="360"/>
        <w:jc w:val="both"/>
      </w:pPr>
      <w:r>
        <w:rPr>
          <w:rFonts w:ascii="Times New Roman" w:cs="David" w:eastAsia="David" w:hAnsi="Times New Roman"/>
          <w:i/>
          <w:iCs/>
          <w:sz w:val="24"/>
          <w:szCs w:val="24"/>
          <w:rtl w:val="false"/>
        </w:rPr>
        <w:t xml:space="preserve">Police and Criminal Evidence Act 1984</w:t>
      </w:r>
      <w:r>
        <w:rPr>
          <w:rFonts w:ascii="Times New Roman" w:cs="David" w:eastAsia="David" w:hAnsi="Times New Roman"/>
          <w:sz w:val="24"/>
          <w:szCs w:val="24"/>
          <w:rtl w:val="false"/>
        </w:rPr>
        <w:t xml:space="preserve">, c. 60 (UK)</w:t>
      </w:r>
    </w:p>
    <w:p>
      <w:pPr>
        <w:pStyle w:val="Heading2"/>
        <w:bidi/>
        <w:spacing w:after="160" w:before="240"/>
        <w:jc w:val="right"/>
      </w:pPr>
      <w:r>
        <w:rPr>
          <w:rFonts w:ascii="Times New Roman" w:cs="David" w:eastAsia="David" w:hAnsi="Times New Roman"/>
          <w:b/>
          <w:bCs/>
          <w:sz w:val="28"/>
          <w:szCs w:val="28"/>
          <w:rtl/>
        </w:rPr>
        <w:t xml:space="preserve">פסיקה ישראלית</w:t>
      </w:r>
    </w:p>
    <w:p>
      <w:pPr>
        <w:bidi/>
        <w:spacing w:after="100" w:line="276"/>
        <w:ind w:left="360" w:hanging="360"/>
        <w:jc w:val="both"/>
      </w:pPr>
      <w:r>
        <w:rPr>
          <w:rFonts w:ascii="Times New Roman" w:cs="David" w:eastAsia="David" w:hAnsi="Times New Roman"/>
          <w:sz w:val="24"/>
          <w:szCs w:val="24"/>
          <w:rtl/>
        </w:rPr>
        <w:t xml:space="preserve">בג"ץ 8634/08 </w:t>
      </w:r>
      <w:r>
        <w:rPr>
          <w:rFonts w:ascii="Times New Roman" w:cs="David" w:eastAsia="David" w:hAnsi="Times New Roman"/>
          <w:b/>
          <w:bCs/>
          <w:sz w:val="24"/>
          <w:szCs w:val="24"/>
          <w:rtl/>
        </w:rPr>
        <w:t xml:space="preserve">אלחננוב נ' משטרת ישראל – אגף משאבי אנוש</w:t>
      </w:r>
      <w:r>
        <w:rPr>
          <w:rFonts w:ascii="Times New Roman" w:cs="David" w:eastAsia="David" w:hAnsi="Times New Roman"/>
          <w:sz w:val="24"/>
          <w:szCs w:val="24"/>
          <w:rtl/>
        </w:rPr>
        <w:t xml:space="preserve"> (נבו 16.11.2010)</w:t>
      </w:r>
    </w:p>
    <w:p>
      <w:pPr>
        <w:bidi/>
        <w:spacing w:after="100" w:line="276"/>
        <w:ind w:left="360" w:hanging="360"/>
        <w:jc w:val="both"/>
      </w:pPr>
      <w:r>
        <w:rPr>
          <w:rFonts w:ascii="Times New Roman" w:cs="David" w:eastAsia="David" w:hAnsi="Times New Roman"/>
          <w:sz w:val="24"/>
          <w:szCs w:val="24"/>
          <w:rtl/>
        </w:rPr>
        <w:t xml:space="preserve">ע"א 337/81 </w:t>
      </w:r>
      <w:r>
        <w:rPr>
          <w:rFonts w:ascii="Times New Roman" w:cs="David" w:eastAsia="David" w:hAnsi="Times New Roman"/>
          <w:b/>
          <w:bCs/>
          <w:sz w:val="24"/>
          <w:szCs w:val="24"/>
          <w:rtl/>
        </w:rPr>
        <w:t xml:space="preserve">בוסקילה נ' מדינת ישראל</w:t>
      </w:r>
      <w:r>
        <w:rPr>
          <w:rFonts w:ascii="Times New Roman" w:cs="David" w:eastAsia="David" w:hAnsi="Times New Roman"/>
          <w:sz w:val="24"/>
          <w:szCs w:val="24"/>
          <w:rtl/>
        </w:rPr>
        <w:t xml:space="preserve">, פ"ד לח(3) 337 (1984)</w:t>
      </w:r>
    </w:p>
    <w:p>
      <w:pPr>
        <w:bidi/>
        <w:spacing w:after="100" w:line="276"/>
        <w:ind w:left="360" w:hanging="360"/>
        <w:jc w:val="both"/>
      </w:pPr>
      <w:r>
        <w:rPr>
          <w:rFonts w:ascii="Times New Roman" w:cs="David" w:eastAsia="David" w:hAnsi="Times New Roman"/>
          <w:sz w:val="24"/>
          <w:szCs w:val="24"/>
          <w:rtl/>
        </w:rPr>
        <w:t xml:space="preserve">רע"פ 10141/09 </w:t>
      </w:r>
      <w:r>
        <w:rPr>
          <w:rFonts w:ascii="Times New Roman" w:cs="David" w:eastAsia="David" w:hAnsi="Times New Roman"/>
          <w:b/>
          <w:bCs/>
          <w:sz w:val="24"/>
          <w:szCs w:val="24"/>
          <w:rtl/>
        </w:rPr>
        <w:t xml:space="preserve">בן חיים נ' מדינת ישראל</w:t>
      </w:r>
      <w:r>
        <w:rPr>
          <w:rFonts w:ascii="Times New Roman" w:cs="David" w:eastAsia="David" w:hAnsi="Times New Roman"/>
          <w:sz w:val="24"/>
          <w:szCs w:val="24"/>
          <w:rtl/>
        </w:rPr>
        <w:t xml:space="preserve">, פ"ד סה(3) 305 (2012)</w:t>
      </w:r>
    </w:p>
    <w:p>
      <w:pPr>
        <w:bidi/>
        <w:spacing w:after="100" w:line="276"/>
        <w:ind w:left="360" w:hanging="360"/>
        <w:jc w:val="both"/>
      </w:pPr>
      <w:r>
        <w:rPr>
          <w:rFonts w:ascii="Times New Roman" w:cs="David" w:eastAsia="David" w:hAnsi="Times New Roman"/>
          <w:sz w:val="24"/>
          <w:szCs w:val="24"/>
          <w:rtl/>
        </w:rPr>
        <w:t xml:space="preserve">בג"ץ 5887/17 </w:t>
      </w:r>
      <w:r>
        <w:rPr>
          <w:rFonts w:ascii="Times New Roman" w:cs="David" w:eastAsia="David" w:hAnsi="Times New Roman"/>
          <w:b/>
          <w:bCs/>
          <w:sz w:val="24"/>
          <w:szCs w:val="24"/>
          <w:rtl/>
        </w:rPr>
        <w:t xml:space="preserve">ג'בארין נ' משטרת ישראל</w:t>
      </w:r>
      <w:r>
        <w:rPr>
          <w:rFonts w:ascii="Times New Roman" w:cs="David" w:eastAsia="David" w:hAnsi="Times New Roman"/>
          <w:sz w:val="24"/>
          <w:szCs w:val="24"/>
          <w:rtl/>
        </w:rPr>
        <w:t xml:space="preserve"> (נבו 25.7.2017)</w:t>
      </w:r>
    </w:p>
    <w:p>
      <w:pPr>
        <w:bidi/>
        <w:spacing w:after="100" w:line="276"/>
        <w:ind w:left="360" w:hanging="360"/>
        <w:jc w:val="both"/>
      </w:pPr>
      <w:r>
        <w:rPr>
          <w:rFonts w:ascii="Times New Roman" w:cs="David" w:eastAsia="David" w:hAnsi="Times New Roman"/>
          <w:sz w:val="24"/>
          <w:szCs w:val="24"/>
          <w:rtl/>
        </w:rPr>
        <w:t xml:space="preserve">בג"ץ 1386/22 </w:t>
      </w:r>
      <w:r>
        <w:rPr>
          <w:rFonts w:ascii="Times New Roman" w:cs="David" w:eastAsia="David" w:hAnsi="Times New Roman"/>
          <w:b/>
          <w:bCs/>
          <w:sz w:val="24"/>
          <w:szCs w:val="24"/>
          <w:rtl/>
        </w:rPr>
        <w:t xml:space="preserve">דיאב נ' מפכ"ל משטרת ישראל</w:t>
      </w:r>
      <w:r>
        <w:rPr>
          <w:rFonts w:ascii="Times New Roman" w:cs="David" w:eastAsia="David" w:hAnsi="Times New Roman"/>
          <w:sz w:val="24"/>
          <w:szCs w:val="24"/>
          <w:rtl/>
        </w:rPr>
        <w:t xml:space="preserve"> (נבו 7.11.2022)</w:t>
      </w:r>
    </w:p>
    <w:p>
      <w:pPr>
        <w:bidi/>
        <w:spacing w:after="100" w:line="276"/>
        <w:ind w:left="360" w:hanging="360"/>
        <w:jc w:val="both"/>
      </w:pPr>
      <w:r>
        <w:rPr>
          <w:rFonts w:ascii="Times New Roman" w:cs="David" w:eastAsia="David" w:hAnsi="Times New Roman"/>
          <w:sz w:val="24"/>
          <w:szCs w:val="24"/>
          <w:rtl/>
        </w:rPr>
        <w:t xml:space="preserve">בג"ץ 244/23 </w:t>
      </w:r>
      <w:r>
        <w:rPr>
          <w:rFonts w:ascii="Times New Roman" w:cs="David" w:eastAsia="David" w:hAnsi="Times New Roman"/>
          <w:b/>
          <w:bCs/>
          <w:sz w:val="24"/>
          <w:szCs w:val="24"/>
          <w:rtl/>
        </w:rPr>
        <w:t xml:space="preserve">האגודה לזכויות האזרח בישראל נ' משטרת ישראל</w:t>
      </w:r>
      <w:r>
        <w:rPr>
          <w:rFonts w:ascii="Times New Roman" w:cs="David" w:eastAsia="David" w:hAnsi="Times New Roman"/>
          <w:sz w:val="24"/>
          <w:szCs w:val="24"/>
          <w:rtl/>
        </w:rPr>
        <w:t xml:space="preserve"> (נבו 14.12.2025)</w:t>
      </w:r>
    </w:p>
    <w:p>
      <w:pPr>
        <w:bidi/>
        <w:spacing w:after="100" w:line="276"/>
        <w:ind w:left="360" w:hanging="360"/>
        <w:jc w:val="both"/>
      </w:pPr>
      <w:r>
        <w:rPr>
          <w:rFonts w:ascii="Times New Roman" w:cs="David" w:eastAsia="David" w:hAnsi="Times New Roman"/>
          <w:sz w:val="24"/>
          <w:szCs w:val="24"/>
          <w:rtl/>
        </w:rPr>
        <w:t xml:space="preserve">בג"ץ 2605/05 </w:t>
      </w:r>
      <w:r>
        <w:rPr>
          <w:rFonts w:ascii="Times New Roman" w:cs="David" w:eastAsia="David" w:hAnsi="Times New Roman"/>
          <w:b/>
          <w:bCs/>
          <w:sz w:val="24"/>
          <w:szCs w:val="24"/>
          <w:rtl/>
        </w:rPr>
        <w:t xml:space="preserve">המרכז האקדמי למשפט ולעסקים, חטיבת זכויות האדם נ' שר האוצר</w:t>
      </w:r>
      <w:r>
        <w:rPr>
          <w:rFonts w:ascii="Times New Roman" w:cs="David" w:eastAsia="David" w:hAnsi="Times New Roman"/>
          <w:sz w:val="24"/>
          <w:szCs w:val="24"/>
          <w:rtl/>
        </w:rPr>
        <w:t xml:space="preserve">, פ"ד סג(2) 545 (2009)</w:t>
      </w:r>
    </w:p>
    <w:p>
      <w:pPr>
        <w:bidi/>
        <w:spacing w:after="100" w:line="276"/>
        <w:ind w:left="360" w:hanging="360"/>
        <w:jc w:val="both"/>
      </w:pPr>
      <w:r>
        <w:rPr>
          <w:rFonts w:ascii="Times New Roman" w:cs="David" w:eastAsia="David" w:hAnsi="Times New Roman"/>
          <w:sz w:val="24"/>
          <w:szCs w:val="24"/>
          <w:rtl/>
        </w:rPr>
        <w:t xml:space="preserve">בג"ץ 8987/22 </w:t>
      </w:r>
      <w:r>
        <w:rPr>
          <w:rFonts w:ascii="Times New Roman" w:cs="David" w:eastAsia="David" w:hAnsi="Times New Roman"/>
          <w:b/>
          <w:bCs/>
          <w:sz w:val="24"/>
          <w:szCs w:val="24"/>
          <w:rtl/>
        </w:rPr>
        <w:t xml:space="preserve">התנועה למען איכות השלטון בישראל נ' הכנסת</w:t>
      </w:r>
      <w:r>
        <w:rPr>
          <w:rFonts w:ascii="Times New Roman" w:cs="David" w:eastAsia="David" w:hAnsi="Times New Roman"/>
          <w:sz w:val="24"/>
          <w:szCs w:val="24"/>
          <w:rtl/>
        </w:rPr>
        <w:t xml:space="preserve"> (נבו 2.1.2025)</w:t>
      </w:r>
    </w:p>
    <w:p>
      <w:pPr>
        <w:bidi/>
        <w:spacing w:after="100" w:line="276"/>
        <w:ind w:left="360" w:hanging="360"/>
        <w:jc w:val="both"/>
      </w:pPr>
      <w:r>
        <w:rPr>
          <w:rFonts w:ascii="Times New Roman" w:cs="David" w:eastAsia="David" w:hAnsi="Times New Roman"/>
          <w:sz w:val="24"/>
          <w:szCs w:val="24"/>
          <w:rtl/>
        </w:rPr>
        <w:t xml:space="preserve">רע"פ 3199/20 </w:t>
      </w:r>
      <w:r>
        <w:rPr>
          <w:rFonts w:ascii="Times New Roman" w:cs="David" w:eastAsia="David" w:hAnsi="Times New Roman"/>
          <w:b/>
          <w:bCs/>
          <w:sz w:val="24"/>
          <w:szCs w:val="24"/>
          <w:rtl/>
        </w:rPr>
        <w:t xml:space="preserve">זייצב נ' מדינת ישראל</w:t>
      </w:r>
      <w:r>
        <w:rPr>
          <w:rFonts w:ascii="Times New Roman" w:cs="David" w:eastAsia="David" w:hAnsi="Times New Roman"/>
          <w:sz w:val="24"/>
          <w:szCs w:val="24"/>
          <w:rtl/>
        </w:rPr>
        <w:t xml:space="preserve"> (נבו 12.8.2021)</w:t>
      </w:r>
    </w:p>
    <w:p>
      <w:pPr>
        <w:bidi/>
        <w:spacing w:after="100" w:line="276"/>
        <w:ind w:left="360" w:hanging="360"/>
        <w:jc w:val="both"/>
      </w:pPr>
      <w:r>
        <w:rPr>
          <w:rFonts w:ascii="Times New Roman" w:cs="David" w:eastAsia="David" w:hAnsi="Times New Roman"/>
          <w:sz w:val="24"/>
          <w:szCs w:val="24"/>
          <w:rtl/>
        </w:rPr>
        <w:t xml:space="preserve">בג"ץ 6396/96 </w:t>
      </w:r>
      <w:r>
        <w:rPr>
          <w:rFonts w:ascii="Times New Roman" w:cs="David" w:eastAsia="David" w:hAnsi="Times New Roman"/>
          <w:b/>
          <w:bCs/>
          <w:sz w:val="24"/>
          <w:szCs w:val="24"/>
          <w:rtl/>
        </w:rPr>
        <w:t xml:space="preserve">זקין נ' ראש עיריית באר-שבע</w:t>
      </w:r>
      <w:r>
        <w:rPr>
          <w:rFonts w:ascii="Times New Roman" w:cs="David" w:eastAsia="David" w:hAnsi="Times New Roman"/>
          <w:sz w:val="24"/>
          <w:szCs w:val="24"/>
          <w:rtl/>
        </w:rPr>
        <w:t xml:space="preserve">, פ"ד נג(3) 289 (1999)</w:t>
      </w:r>
    </w:p>
    <w:p>
      <w:pPr>
        <w:bidi/>
        <w:spacing w:after="100" w:line="276"/>
        <w:ind w:left="360" w:hanging="360"/>
        <w:jc w:val="both"/>
      </w:pPr>
      <w:r>
        <w:rPr>
          <w:rFonts w:ascii="Times New Roman" w:cs="David" w:eastAsia="David" w:hAnsi="Times New Roman"/>
          <w:sz w:val="24"/>
          <w:szCs w:val="24"/>
          <w:rtl/>
        </w:rPr>
        <w:t xml:space="preserve">בג"ץ 64/91 </w:t>
      </w:r>
      <w:r>
        <w:rPr>
          <w:rFonts w:ascii="Times New Roman" w:cs="David" w:eastAsia="David" w:hAnsi="Times New Roman"/>
          <w:b/>
          <w:bCs/>
          <w:sz w:val="24"/>
          <w:szCs w:val="24"/>
          <w:rtl/>
        </w:rPr>
        <w:t xml:space="preserve">חילף נ' משטרת ישראל</w:t>
      </w:r>
      <w:r>
        <w:rPr>
          <w:rFonts w:ascii="Times New Roman" w:cs="David" w:eastAsia="David" w:hAnsi="Times New Roman"/>
          <w:sz w:val="24"/>
          <w:szCs w:val="24"/>
          <w:rtl/>
        </w:rPr>
        <w:t xml:space="preserve">, פ"ד מז(5) 653 (1993)</w:t>
      </w:r>
    </w:p>
    <w:p>
      <w:pPr>
        <w:bidi/>
        <w:spacing w:after="100" w:line="276"/>
        <w:ind w:left="360" w:hanging="360"/>
        <w:jc w:val="both"/>
      </w:pPr>
      <w:r>
        <w:rPr>
          <w:rFonts w:ascii="Times New Roman" w:cs="David" w:eastAsia="David" w:hAnsi="Times New Roman"/>
          <w:sz w:val="24"/>
          <w:szCs w:val="24"/>
          <w:rtl/>
        </w:rPr>
        <w:t xml:space="preserve">ת"פ (שלום חד') 34366-04-24 </w:t>
      </w:r>
      <w:r>
        <w:rPr>
          <w:rFonts w:ascii="Times New Roman" w:cs="David" w:eastAsia="David" w:hAnsi="Times New Roman"/>
          <w:b/>
          <w:bCs/>
          <w:sz w:val="24"/>
          <w:szCs w:val="24"/>
          <w:rtl/>
        </w:rPr>
        <w:t xml:space="preserve">מדינת ישראל נ' אוסיפוב</w:t>
      </w:r>
      <w:r>
        <w:rPr>
          <w:rFonts w:ascii="Times New Roman" w:cs="David" w:eastAsia="David" w:hAnsi="Times New Roman"/>
          <w:sz w:val="24"/>
          <w:szCs w:val="24"/>
          <w:rtl/>
        </w:rPr>
        <w:t xml:space="preserve"> (נבו 6.3.2025)</w:t>
      </w:r>
    </w:p>
    <w:p>
      <w:pPr>
        <w:bidi/>
        <w:spacing w:after="100" w:line="276"/>
        <w:ind w:left="360" w:hanging="360"/>
        <w:jc w:val="both"/>
      </w:pPr>
      <w:r>
        <w:rPr>
          <w:rFonts w:ascii="Times New Roman" w:cs="David" w:eastAsia="David" w:hAnsi="Times New Roman"/>
          <w:sz w:val="24"/>
          <w:szCs w:val="24"/>
          <w:rtl/>
        </w:rPr>
        <w:t xml:space="preserve">ע"פ 4855/02 </w:t>
      </w:r>
      <w:r>
        <w:rPr>
          <w:rFonts w:ascii="Times New Roman" w:cs="David" w:eastAsia="David" w:hAnsi="Times New Roman"/>
          <w:b/>
          <w:bCs/>
          <w:sz w:val="24"/>
          <w:szCs w:val="24"/>
          <w:rtl/>
        </w:rPr>
        <w:t xml:space="preserve">מדינת ישראל נ' בורוביץ</w:t>
      </w:r>
      <w:r>
        <w:rPr>
          <w:rFonts w:ascii="Times New Roman" w:cs="David" w:eastAsia="David" w:hAnsi="Times New Roman"/>
          <w:sz w:val="24"/>
          <w:szCs w:val="24"/>
          <w:rtl/>
        </w:rPr>
        <w:t xml:space="preserve">, פ"ד נט(6) 776 (2005)</w:t>
      </w:r>
    </w:p>
    <w:p>
      <w:pPr>
        <w:bidi/>
        <w:spacing w:after="100" w:line="276"/>
        <w:ind w:left="360" w:hanging="360"/>
        <w:jc w:val="both"/>
      </w:pPr>
      <w:r>
        <w:rPr>
          <w:rFonts w:ascii="Times New Roman" w:cs="David" w:eastAsia="David" w:hAnsi="Times New Roman"/>
          <w:sz w:val="24"/>
          <w:szCs w:val="24"/>
          <w:rtl/>
        </w:rPr>
        <w:t xml:space="preserve">ע"פ 2165/23 </w:t>
      </w:r>
      <w:r>
        <w:rPr>
          <w:rFonts w:ascii="Times New Roman" w:cs="David" w:eastAsia="David" w:hAnsi="Times New Roman"/>
          <w:b/>
          <w:bCs/>
          <w:sz w:val="24"/>
          <w:szCs w:val="24"/>
          <w:rtl/>
        </w:rPr>
        <w:t xml:space="preserve">מדינת ישראל נ' בלאל</w:t>
      </w:r>
      <w:r>
        <w:rPr>
          <w:rFonts w:ascii="Times New Roman" w:cs="David" w:eastAsia="David" w:hAnsi="Times New Roman"/>
          <w:sz w:val="24"/>
          <w:szCs w:val="24"/>
          <w:rtl/>
        </w:rPr>
        <w:t xml:space="preserve"> (נבו 4.5.2023)</w:t>
      </w:r>
    </w:p>
    <w:p>
      <w:pPr>
        <w:bidi/>
        <w:spacing w:after="100" w:line="276"/>
        <w:ind w:left="360" w:hanging="360"/>
        <w:jc w:val="both"/>
      </w:pPr>
      <w:r>
        <w:rPr>
          <w:rFonts w:ascii="Times New Roman" w:cs="David" w:eastAsia="David" w:hAnsi="Times New Roman"/>
          <w:sz w:val="24"/>
          <w:szCs w:val="24"/>
          <w:rtl/>
        </w:rPr>
        <w:t xml:space="preserve">ע"א 1678/01 </w:t>
      </w:r>
      <w:r>
        <w:rPr>
          <w:rFonts w:ascii="Times New Roman" w:cs="David" w:eastAsia="David" w:hAnsi="Times New Roman"/>
          <w:b/>
          <w:bCs/>
          <w:sz w:val="24"/>
          <w:szCs w:val="24"/>
          <w:rtl/>
        </w:rPr>
        <w:t xml:space="preserve">מדינת ישראל נ' וייס</w:t>
      </w:r>
      <w:r>
        <w:rPr>
          <w:rFonts w:ascii="Times New Roman" w:cs="David" w:eastAsia="David" w:hAnsi="Times New Roman"/>
          <w:sz w:val="24"/>
          <w:szCs w:val="24"/>
          <w:rtl/>
        </w:rPr>
        <w:t xml:space="preserve">, פ"ד נח(5) 167 (2004)</w:t>
      </w:r>
    </w:p>
    <w:p>
      <w:pPr>
        <w:bidi/>
        <w:spacing w:after="100" w:line="276"/>
        <w:ind w:left="360" w:hanging="360"/>
        <w:jc w:val="both"/>
      </w:pPr>
      <w:r>
        <w:rPr>
          <w:rFonts w:ascii="Times New Roman" w:cs="David" w:eastAsia="David" w:hAnsi="Times New Roman"/>
          <w:sz w:val="24"/>
          <w:szCs w:val="24"/>
          <w:rtl/>
        </w:rPr>
        <w:t xml:space="preserve">ע"פ 9878/09 </w:t>
      </w:r>
      <w:r>
        <w:rPr>
          <w:rFonts w:ascii="Times New Roman" w:cs="David" w:eastAsia="David" w:hAnsi="Times New Roman"/>
          <w:b/>
          <w:bCs/>
          <w:sz w:val="24"/>
          <w:szCs w:val="24"/>
          <w:rtl/>
        </w:rPr>
        <w:t xml:space="preserve">מדינת ישראל נ' מוסא</w:t>
      </w:r>
      <w:r>
        <w:rPr>
          <w:rFonts w:ascii="Times New Roman" w:cs="David" w:eastAsia="David" w:hAnsi="Times New Roman"/>
          <w:sz w:val="24"/>
          <w:szCs w:val="24"/>
          <w:rtl/>
        </w:rPr>
        <w:t xml:space="preserve"> (נבו 20.9.2010)</w:t>
      </w:r>
    </w:p>
    <w:p>
      <w:pPr>
        <w:bidi/>
        <w:spacing w:after="100" w:line="276"/>
        <w:ind w:left="360" w:hanging="360"/>
        <w:jc w:val="both"/>
      </w:pPr>
      <w:r>
        <w:rPr>
          <w:rFonts w:ascii="Times New Roman" w:cs="David" w:eastAsia="David" w:hAnsi="Times New Roman"/>
          <w:sz w:val="24"/>
          <w:szCs w:val="24"/>
          <w:rtl/>
        </w:rPr>
        <w:t xml:space="preserve">ע"פ 4406/19 </w:t>
      </w:r>
      <w:r>
        <w:rPr>
          <w:rFonts w:ascii="Times New Roman" w:cs="David" w:eastAsia="David" w:hAnsi="Times New Roman"/>
          <w:b/>
          <w:bCs/>
          <w:sz w:val="24"/>
          <w:szCs w:val="24"/>
          <w:rtl/>
        </w:rPr>
        <w:t xml:space="preserve">מדינת ישראל נ' סובח</w:t>
      </w:r>
      <w:r>
        <w:rPr>
          <w:rFonts w:ascii="Times New Roman" w:cs="David" w:eastAsia="David" w:hAnsi="Times New Roman"/>
          <w:sz w:val="24"/>
          <w:szCs w:val="24"/>
          <w:rtl/>
        </w:rPr>
        <w:t xml:space="preserve"> (נבו 5.11.2019)</w:t>
      </w:r>
    </w:p>
    <w:p>
      <w:pPr>
        <w:bidi/>
        <w:spacing w:after="100" w:line="276"/>
        <w:ind w:left="360" w:hanging="360"/>
        <w:jc w:val="both"/>
      </w:pPr>
      <w:r>
        <w:rPr>
          <w:rFonts w:ascii="Times New Roman" w:cs="David" w:eastAsia="David" w:hAnsi="Times New Roman"/>
          <w:sz w:val="24"/>
          <w:szCs w:val="24"/>
          <w:rtl/>
        </w:rPr>
        <w:t xml:space="preserve">ע"פ 6328/12 </w:t>
      </w:r>
      <w:r>
        <w:rPr>
          <w:rFonts w:ascii="Times New Roman" w:cs="David" w:eastAsia="David" w:hAnsi="Times New Roman"/>
          <w:b/>
          <w:bCs/>
          <w:sz w:val="24"/>
          <w:szCs w:val="24"/>
          <w:rtl/>
        </w:rPr>
        <w:t xml:space="preserve">מדינת ישראל נ' פרץ</w:t>
      </w:r>
      <w:r>
        <w:rPr>
          <w:rFonts w:ascii="Times New Roman" w:cs="David" w:eastAsia="David" w:hAnsi="Times New Roman"/>
          <w:sz w:val="24"/>
          <w:szCs w:val="24"/>
          <w:rtl/>
        </w:rPr>
        <w:t xml:space="preserve"> (נבו 10.9.2013)</w:t>
      </w:r>
    </w:p>
    <w:p>
      <w:pPr>
        <w:bidi/>
        <w:spacing w:after="100" w:line="276"/>
        <w:ind w:left="360" w:hanging="360"/>
        <w:jc w:val="both"/>
      </w:pPr>
      <w:r>
        <w:rPr>
          <w:rFonts w:ascii="Times New Roman" w:cs="David" w:eastAsia="David" w:hAnsi="Times New Roman"/>
          <w:sz w:val="24"/>
          <w:szCs w:val="24"/>
          <w:rtl/>
        </w:rPr>
        <w:t xml:space="preserve">ע"פ 2482/22 </w:t>
      </w:r>
      <w:r>
        <w:rPr>
          <w:rFonts w:ascii="Times New Roman" w:cs="David" w:eastAsia="David" w:hAnsi="Times New Roman"/>
          <w:b/>
          <w:bCs/>
          <w:sz w:val="24"/>
          <w:szCs w:val="24"/>
          <w:rtl/>
        </w:rPr>
        <w:t xml:space="preserve">מדינת ישראל נ' קדורה</w:t>
      </w:r>
      <w:r>
        <w:rPr>
          <w:rFonts w:ascii="Times New Roman" w:cs="David" w:eastAsia="David" w:hAnsi="Times New Roman"/>
          <w:sz w:val="24"/>
          <w:szCs w:val="24"/>
          <w:rtl/>
        </w:rPr>
        <w:t xml:space="preserve"> (נבו 14.4.2022)</w:t>
      </w:r>
    </w:p>
    <w:p>
      <w:pPr>
        <w:bidi/>
        <w:spacing w:after="100" w:line="276"/>
        <w:ind w:left="360" w:hanging="360"/>
        <w:jc w:val="both"/>
      </w:pPr>
      <w:r>
        <w:rPr>
          <w:rFonts w:ascii="Times New Roman" w:cs="David" w:eastAsia="David" w:hAnsi="Times New Roman"/>
          <w:sz w:val="24"/>
          <w:szCs w:val="24"/>
          <w:rtl/>
        </w:rPr>
        <w:t xml:space="preserve">בג"ץ 2557/05 </w:t>
      </w:r>
      <w:r>
        <w:rPr>
          <w:rFonts w:ascii="Times New Roman" w:cs="David" w:eastAsia="David" w:hAnsi="Times New Roman"/>
          <w:b/>
          <w:bCs/>
          <w:sz w:val="24"/>
          <w:szCs w:val="24"/>
          <w:rtl/>
        </w:rPr>
        <w:t xml:space="preserve">מטה הרוב נ' משטרת ישראל</w:t>
      </w:r>
      <w:r>
        <w:rPr>
          <w:rFonts w:ascii="Times New Roman" w:cs="David" w:eastAsia="David" w:hAnsi="Times New Roman"/>
          <w:sz w:val="24"/>
          <w:szCs w:val="24"/>
          <w:rtl/>
        </w:rPr>
        <w:t xml:space="preserve">, פ"ד סב(1) 200 (2006)</w:t>
      </w:r>
    </w:p>
    <w:p>
      <w:pPr>
        <w:bidi/>
        <w:spacing w:after="100" w:line="276"/>
        <w:ind w:left="360" w:hanging="360"/>
        <w:jc w:val="both"/>
      </w:pPr>
      <w:r>
        <w:rPr>
          <w:rFonts w:ascii="Times New Roman" w:cs="David" w:eastAsia="David" w:hAnsi="Times New Roman"/>
          <w:sz w:val="24"/>
          <w:szCs w:val="24"/>
          <w:rtl/>
        </w:rPr>
        <w:t xml:space="preserve">בג"ץ 6824/07 </w:t>
      </w:r>
      <w:r>
        <w:rPr>
          <w:rFonts w:ascii="Times New Roman" w:cs="David" w:eastAsia="David" w:hAnsi="Times New Roman"/>
          <w:b/>
          <w:bCs/>
          <w:sz w:val="24"/>
          <w:szCs w:val="24"/>
          <w:rtl/>
        </w:rPr>
        <w:t xml:space="preserve">מנאע נ' רשות המסים</w:t>
      </w:r>
      <w:r>
        <w:rPr>
          <w:rFonts w:ascii="Times New Roman" w:cs="David" w:eastAsia="David" w:hAnsi="Times New Roman"/>
          <w:sz w:val="24"/>
          <w:szCs w:val="24"/>
          <w:rtl/>
        </w:rPr>
        <w:t xml:space="preserve">, פ"ד סד(2) 479 (2010)</w:t>
      </w:r>
    </w:p>
    <w:p>
      <w:pPr>
        <w:bidi/>
        <w:spacing w:after="100" w:line="276"/>
        <w:ind w:left="360" w:hanging="360"/>
        <w:jc w:val="both"/>
      </w:pPr>
      <w:r>
        <w:rPr>
          <w:rFonts w:ascii="Times New Roman" w:cs="David" w:eastAsia="David" w:hAnsi="Times New Roman"/>
          <w:sz w:val="24"/>
          <w:szCs w:val="24"/>
          <w:rtl/>
        </w:rPr>
        <w:t xml:space="preserve">דנג"ץ 2707/21 </w:t>
      </w:r>
      <w:r>
        <w:rPr>
          <w:rFonts w:ascii="Times New Roman" w:cs="David" w:eastAsia="David" w:hAnsi="Times New Roman"/>
          <w:b/>
          <w:bCs/>
          <w:sz w:val="24"/>
          <w:szCs w:val="24"/>
          <w:rtl/>
        </w:rPr>
        <w:t xml:space="preserve">משטרת ישראל נ' עמותת טבקה – צדק ושוויון ליוצאי אתיופיה</w:t>
      </w:r>
      <w:r>
        <w:rPr>
          <w:rFonts w:ascii="Times New Roman" w:cs="David" w:eastAsia="David" w:hAnsi="Times New Roman"/>
          <w:sz w:val="24"/>
          <w:szCs w:val="24"/>
          <w:rtl/>
        </w:rPr>
        <w:t xml:space="preserve"> (נבו 29.12.2021)</w:t>
      </w:r>
    </w:p>
    <w:p>
      <w:pPr>
        <w:bidi/>
        <w:spacing w:after="100" w:line="276"/>
        <w:ind w:left="360" w:hanging="360"/>
        <w:jc w:val="both"/>
      </w:pPr>
      <w:r>
        <w:rPr>
          <w:rFonts w:ascii="Times New Roman" w:cs="David" w:eastAsia="David" w:hAnsi="Times New Roman"/>
          <w:sz w:val="24"/>
          <w:szCs w:val="24"/>
          <w:rtl/>
        </w:rPr>
        <w:t xml:space="preserve">בג"ץ 7074/93 </w:t>
      </w:r>
      <w:r>
        <w:rPr>
          <w:rFonts w:ascii="Times New Roman" w:cs="David" w:eastAsia="David" w:hAnsi="Times New Roman"/>
          <w:b/>
          <w:bCs/>
          <w:sz w:val="24"/>
          <w:szCs w:val="24"/>
          <w:rtl/>
        </w:rPr>
        <w:t xml:space="preserve">סויסא נ' היועץ המשפטי לממשלה</w:t>
      </w:r>
      <w:r>
        <w:rPr>
          <w:rFonts w:ascii="Times New Roman" w:cs="David" w:eastAsia="David" w:hAnsi="Times New Roman"/>
          <w:sz w:val="24"/>
          <w:szCs w:val="24"/>
          <w:rtl/>
        </w:rPr>
        <w:t xml:space="preserve">, פ"ד מח(2) 749 (1994)</w:t>
      </w:r>
    </w:p>
    <w:p>
      <w:pPr>
        <w:bidi/>
        <w:spacing w:after="100" w:line="276"/>
        <w:ind w:left="360" w:hanging="360"/>
        <w:jc w:val="both"/>
      </w:pPr>
      <w:r>
        <w:rPr>
          <w:rFonts w:ascii="Times New Roman" w:cs="David" w:eastAsia="David" w:hAnsi="Times New Roman"/>
          <w:sz w:val="24"/>
          <w:szCs w:val="24"/>
          <w:rtl/>
        </w:rPr>
        <w:t xml:space="preserve">בג"ץ 5442/23 </w:t>
      </w:r>
      <w:r>
        <w:rPr>
          <w:rFonts w:ascii="Times New Roman" w:cs="David" w:eastAsia="David" w:hAnsi="Times New Roman"/>
          <w:b/>
          <w:bCs/>
          <w:sz w:val="24"/>
          <w:szCs w:val="24"/>
          <w:rtl/>
        </w:rPr>
        <w:t xml:space="preserve">עבאס נ' מפכ"ל משטרת ישראל</w:t>
      </w:r>
      <w:r>
        <w:rPr>
          <w:rFonts w:ascii="Times New Roman" w:cs="David" w:eastAsia="David" w:hAnsi="Times New Roman"/>
          <w:sz w:val="24"/>
          <w:szCs w:val="24"/>
          <w:rtl/>
        </w:rPr>
        <w:t xml:space="preserve"> (נבו 20.7.2023)</w:t>
      </w:r>
    </w:p>
    <w:p>
      <w:pPr>
        <w:bidi/>
        <w:spacing w:after="100" w:line="276"/>
        <w:ind w:left="360" w:hanging="360"/>
        <w:jc w:val="both"/>
      </w:pPr>
      <w:r>
        <w:rPr>
          <w:rFonts w:ascii="Times New Roman" w:cs="David" w:eastAsia="David" w:hAnsi="Times New Roman"/>
          <w:sz w:val="24"/>
          <w:szCs w:val="24"/>
          <w:rtl/>
        </w:rPr>
        <w:t xml:space="preserve">ע"א 3580/06 </w:t>
      </w:r>
      <w:r>
        <w:rPr>
          <w:rFonts w:ascii="Times New Roman" w:cs="David" w:eastAsia="David" w:hAnsi="Times New Roman"/>
          <w:b/>
          <w:bCs/>
          <w:sz w:val="24"/>
          <w:szCs w:val="24"/>
          <w:rtl/>
        </w:rPr>
        <w:t xml:space="preserve">עזבון יוסף נ' מדינת ישראל</w:t>
      </w:r>
      <w:r>
        <w:rPr>
          <w:rFonts w:ascii="Times New Roman" w:cs="David" w:eastAsia="David" w:hAnsi="Times New Roman"/>
          <w:sz w:val="24"/>
          <w:szCs w:val="24"/>
          <w:rtl/>
        </w:rPr>
        <w:t xml:space="preserve"> (נבו 21.3.2011)</w:t>
      </w:r>
    </w:p>
    <w:p>
      <w:pPr>
        <w:bidi/>
        <w:spacing w:after="100" w:line="276"/>
        <w:ind w:left="360" w:hanging="360"/>
        <w:jc w:val="both"/>
      </w:pPr>
      <w:r>
        <w:rPr>
          <w:rFonts w:ascii="Times New Roman" w:cs="David" w:eastAsia="David" w:hAnsi="Times New Roman"/>
          <w:sz w:val="24"/>
          <w:szCs w:val="24"/>
          <w:rtl/>
        </w:rPr>
        <w:t xml:space="preserve">בג"ץ 4455/19 </w:t>
      </w:r>
      <w:r>
        <w:rPr>
          <w:rFonts w:ascii="Times New Roman" w:cs="David" w:eastAsia="David" w:hAnsi="Times New Roman"/>
          <w:b/>
          <w:bCs/>
          <w:sz w:val="24"/>
          <w:szCs w:val="24"/>
          <w:rtl/>
        </w:rPr>
        <w:t xml:space="preserve">עמותת טבקה – צדק ושוויון ליוצאי אתיופיה נ' משטרת ישראל</w:t>
      </w:r>
      <w:r>
        <w:rPr>
          <w:rFonts w:ascii="Times New Roman" w:cs="David" w:eastAsia="David" w:hAnsi="Times New Roman"/>
          <w:sz w:val="24"/>
          <w:szCs w:val="24"/>
          <w:rtl/>
        </w:rPr>
        <w:t xml:space="preserve"> (נבו 25.1.2021)</w:t>
      </w:r>
    </w:p>
    <w:p>
      <w:pPr>
        <w:bidi/>
        <w:spacing w:after="100" w:line="276"/>
        <w:ind w:left="360" w:hanging="360"/>
        <w:jc w:val="both"/>
      </w:pPr>
      <w:r>
        <w:rPr>
          <w:rFonts w:ascii="Times New Roman" w:cs="David" w:eastAsia="David" w:hAnsi="Times New Roman"/>
          <w:sz w:val="24"/>
          <w:szCs w:val="24"/>
          <w:rtl/>
        </w:rPr>
        <w:t xml:space="preserve">בג"ץ 5078/20 </w:t>
      </w:r>
      <w:r>
        <w:rPr>
          <w:rFonts w:ascii="Times New Roman" w:cs="David" w:eastAsia="David" w:hAnsi="Times New Roman"/>
          <w:b/>
          <w:bCs/>
          <w:sz w:val="24"/>
          <w:szCs w:val="24"/>
          <w:rtl/>
        </w:rPr>
        <w:t xml:space="preserve">פדידה נ' משטרת ישראל – מפקד מחוז ירושלים</w:t>
      </w:r>
      <w:r>
        <w:rPr>
          <w:rFonts w:ascii="Times New Roman" w:cs="David" w:eastAsia="David" w:hAnsi="Times New Roman"/>
          <w:sz w:val="24"/>
          <w:szCs w:val="24"/>
          <w:rtl/>
        </w:rPr>
        <w:t xml:space="preserve"> (נבו 19.8.2020)</w:t>
      </w:r>
    </w:p>
    <w:p>
      <w:pPr>
        <w:bidi/>
        <w:spacing w:after="100" w:line="276"/>
        <w:ind w:left="360" w:hanging="360"/>
        <w:jc w:val="both"/>
      </w:pPr>
      <w:r>
        <w:rPr>
          <w:rFonts w:ascii="Times New Roman" w:cs="David" w:eastAsia="David" w:hAnsi="Times New Roman"/>
          <w:sz w:val="24"/>
          <w:szCs w:val="24"/>
          <w:rtl/>
        </w:rPr>
        <w:t xml:space="preserve">בג"ץ 7839/19 </w:t>
      </w:r>
      <w:r>
        <w:rPr>
          <w:rFonts w:ascii="Times New Roman" w:cs="David" w:eastAsia="David" w:hAnsi="Times New Roman"/>
          <w:b/>
          <w:bCs/>
          <w:sz w:val="24"/>
          <w:szCs w:val="24"/>
          <w:rtl/>
        </w:rPr>
        <w:t xml:space="preserve">פלוני נ' משטרת ישראל</w:t>
      </w:r>
      <w:r>
        <w:rPr>
          <w:rFonts w:ascii="Times New Roman" w:cs="David" w:eastAsia="David" w:hAnsi="Times New Roman"/>
          <w:sz w:val="24"/>
          <w:szCs w:val="24"/>
          <w:rtl/>
        </w:rPr>
        <w:t xml:space="preserve"> (נבו 19.10.2020)</w:t>
      </w:r>
    </w:p>
    <w:p>
      <w:pPr>
        <w:bidi/>
        <w:spacing w:after="100" w:line="276"/>
        <w:ind w:left="360" w:hanging="360"/>
        <w:jc w:val="both"/>
      </w:pPr>
      <w:r>
        <w:rPr>
          <w:rFonts w:ascii="Times New Roman" w:cs="David" w:eastAsia="David" w:hAnsi="Times New Roman"/>
          <w:sz w:val="24"/>
          <w:szCs w:val="24"/>
          <w:rtl/>
        </w:rPr>
        <w:t xml:space="preserve">ע"א 2394/18 </w:t>
      </w:r>
      <w:r>
        <w:rPr>
          <w:rFonts w:ascii="Times New Roman" w:cs="David" w:eastAsia="David" w:hAnsi="Times New Roman"/>
          <w:b/>
          <w:bCs/>
          <w:sz w:val="24"/>
          <w:szCs w:val="24"/>
          <w:rtl/>
        </w:rPr>
        <w:t xml:space="preserve">פלונים נ' משטרת ישראל</w:t>
      </w:r>
      <w:r>
        <w:rPr>
          <w:rFonts w:ascii="Times New Roman" w:cs="David" w:eastAsia="David" w:hAnsi="Times New Roman"/>
          <w:sz w:val="24"/>
          <w:szCs w:val="24"/>
          <w:rtl/>
        </w:rPr>
        <w:t xml:space="preserve"> (נבו 10.4.2019)</w:t>
      </w:r>
    </w:p>
    <w:p>
      <w:pPr>
        <w:bidi/>
        <w:spacing w:after="100" w:line="276"/>
        <w:ind w:left="360" w:hanging="360"/>
        <w:jc w:val="both"/>
      </w:pPr>
      <w:r>
        <w:rPr>
          <w:rFonts w:ascii="Times New Roman" w:cs="David" w:eastAsia="David" w:hAnsi="Times New Roman"/>
          <w:sz w:val="24"/>
          <w:szCs w:val="24"/>
          <w:rtl/>
        </w:rPr>
        <w:t xml:space="preserve">בג"ץ 4475/17 </w:t>
      </w:r>
      <w:r>
        <w:rPr>
          <w:rFonts w:ascii="Times New Roman" w:cs="David" w:eastAsia="David" w:hAnsi="Times New Roman"/>
          <w:b/>
          <w:bCs/>
          <w:sz w:val="24"/>
          <w:szCs w:val="24"/>
          <w:rtl/>
        </w:rPr>
        <w:t xml:space="preserve">פרידמן נ' משטרת ישראל</w:t>
      </w:r>
      <w:r>
        <w:rPr>
          <w:rFonts w:ascii="Times New Roman" w:cs="David" w:eastAsia="David" w:hAnsi="Times New Roman"/>
          <w:sz w:val="24"/>
          <w:szCs w:val="24"/>
          <w:rtl/>
        </w:rPr>
        <w:t xml:space="preserve"> (נבו 17.2.2019)</w:t>
      </w:r>
    </w:p>
    <w:p>
      <w:pPr>
        <w:bidi/>
        <w:spacing w:after="100" w:line="276"/>
        <w:ind w:left="360" w:hanging="360"/>
        <w:jc w:val="both"/>
      </w:pPr>
      <w:r>
        <w:rPr>
          <w:rFonts w:ascii="Times New Roman" w:cs="David" w:eastAsia="David" w:hAnsi="Times New Roman"/>
          <w:sz w:val="24"/>
          <w:szCs w:val="24"/>
          <w:rtl/>
        </w:rPr>
        <w:t xml:space="preserve">רע"פ 3829/15 </w:t>
      </w:r>
      <w:r>
        <w:rPr>
          <w:rFonts w:ascii="Times New Roman" w:cs="David" w:eastAsia="David" w:hAnsi="Times New Roman"/>
          <w:b/>
          <w:bCs/>
          <w:sz w:val="24"/>
          <w:szCs w:val="24"/>
          <w:rtl/>
        </w:rPr>
        <w:t xml:space="preserve">קסאי נ' מדינת ישראל</w:t>
      </w:r>
      <w:r>
        <w:rPr>
          <w:rFonts w:ascii="Times New Roman" w:cs="David" w:eastAsia="David" w:hAnsi="Times New Roman"/>
          <w:sz w:val="24"/>
          <w:szCs w:val="24"/>
          <w:rtl/>
        </w:rPr>
        <w:t xml:space="preserve"> (נבו 20.12.2018)</w:t>
      </w:r>
    </w:p>
    <w:p>
      <w:pPr>
        <w:pStyle w:val="Heading2"/>
        <w:bidi/>
        <w:spacing w:after="160" w:before="240"/>
        <w:jc w:val="right"/>
      </w:pPr>
      <w:r>
        <w:rPr>
          <w:rFonts w:ascii="Times New Roman" w:cs="David" w:eastAsia="David" w:hAnsi="Times New Roman"/>
          <w:b/>
          <w:bCs/>
          <w:sz w:val="28"/>
          <w:szCs w:val="28"/>
          <w:rtl/>
        </w:rPr>
        <w:t xml:space="preserve">פסיקה זרה</w:t>
      </w:r>
    </w:p>
    <w:p>
      <w:pPr>
        <w:bidi/>
        <w:spacing w:after="100" w:line="276"/>
        <w:ind w:left="360" w:hanging="360"/>
        <w:jc w:val="both"/>
      </w:pPr>
      <w:r>
        <w:rPr>
          <w:rFonts w:ascii="Times New Roman" w:cs="David" w:eastAsia="David" w:hAnsi="Times New Roman"/>
          <w:i/>
          <w:iCs/>
          <w:sz w:val="24"/>
          <w:szCs w:val="24"/>
          <w:rtl w:val="false"/>
        </w:rPr>
        <w:t xml:space="preserve">Brown v. Texas</w:t>
      </w:r>
      <w:r>
        <w:rPr>
          <w:rFonts w:ascii="Times New Roman" w:cs="David" w:eastAsia="David" w:hAnsi="Times New Roman"/>
          <w:sz w:val="24"/>
          <w:szCs w:val="24"/>
          <w:rtl w:val="false"/>
        </w:rPr>
        <w:t xml:space="preserve">, 443 U.S. 47 (1979)</w:t>
      </w:r>
    </w:p>
    <w:p>
      <w:pPr>
        <w:bidi/>
        <w:spacing w:after="100" w:line="276"/>
        <w:ind w:left="360" w:hanging="360"/>
        <w:jc w:val="both"/>
      </w:pPr>
      <w:r>
        <w:rPr>
          <w:rFonts w:ascii="Times New Roman" w:cs="David" w:eastAsia="David" w:hAnsi="Times New Roman"/>
          <w:i/>
          <w:iCs/>
          <w:sz w:val="24"/>
          <w:szCs w:val="24"/>
          <w:rtl w:val="false"/>
        </w:rPr>
        <w:t xml:space="preserve">Cuffy v. City of New York</w:t>
      </w:r>
      <w:r>
        <w:rPr>
          <w:rFonts w:ascii="Times New Roman" w:cs="David" w:eastAsia="David" w:hAnsi="Times New Roman"/>
          <w:sz w:val="24"/>
          <w:szCs w:val="24"/>
          <w:rtl w:val="false"/>
        </w:rPr>
        <w:t xml:space="preserve">, 69 N.Y.2d 255 (1987)</w:t>
      </w:r>
    </w:p>
    <w:p>
      <w:pPr>
        <w:bidi/>
        <w:spacing w:after="100" w:line="276"/>
        <w:ind w:left="360" w:hanging="360"/>
        <w:jc w:val="both"/>
      </w:pPr>
      <w:r>
        <w:rPr>
          <w:rFonts w:ascii="Times New Roman" w:cs="David" w:eastAsia="David" w:hAnsi="Times New Roman"/>
          <w:i/>
          <w:iCs/>
          <w:sz w:val="24"/>
          <w:szCs w:val="24"/>
          <w:rtl w:val="false"/>
        </w:rPr>
        <w:t xml:space="preserve">Hill v. Chief Constable of West Yorkshire</w:t>
      </w:r>
      <w:r>
        <w:rPr>
          <w:rFonts w:ascii="Times New Roman" w:cs="David" w:eastAsia="David" w:hAnsi="Times New Roman"/>
          <w:sz w:val="24"/>
          <w:szCs w:val="24"/>
          <w:rtl w:val="false"/>
        </w:rPr>
        <w:t xml:space="preserve"> [1989] AC 53 (HL)</w:t>
      </w:r>
    </w:p>
    <w:p>
      <w:pPr>
        <w:bidi/>
        <w:spacing w:after="100" w:line="276"/>
        <w:ind w:left="360" w:hanging="360"/>
        <w:jc w:val="both"/>
      </w:pPr>
      <w:r>
        <w:rPr>
          <w:rFonts w:ascii="Times New Roman" w:cs="David" w:eastAsia="David" w:hAnsi="Times New Roman"/>
          <w:i/>
          <w:iCs/>
          <w:sz w:val="24"/>
          <w:szCs w:val="24"/>
          <w:rtl w:val="false"/>
        </w:rPr>
        <w:t xml:space="preserve">Kirkham v. Chief Constable of the Greater Manchester Police</w:t>
      </w:r>
      <w:r>
        <w:rPr>
          <w:rFonts w:ascii="Times New Roman" w:cs="David" w:eastAsia="David" w:hAnsi="Times New Roman"/>
          <w:sz w:val="24"/>
          <w:szCs w:val="24"/>
          <w:rtl w:val="false"/>
        </w:rPr>
        <w:t xml:space="preserve"> [1990] 2 WLR 987 (CA)</w:t>
      </w:r>
    </w:p>
    <w:p>
      <w:pPr>
        <w:bidi/>
        <w:spacing w:after="100" w:line="276"/>
        <w:ind w:left="360" w:hanging="360"/>
        <w:jc w:val="both"/>
      </w:pPr>
      <w:r>
        <w:rPr>
          <w:rFonts w:ascii="Times New Roman" w:cs="David" w:eastAsia="David" w:hAnsi="Times New Roman"/>
          <w:i/>
          <w:iCs/>
          <w:sz w:val="24"/>
          <w:szCs w:val="24"/>
          <w:rtl w:val="false"/>
        </w:rPr>
        <w:t xml:space="preserve">Miranda v. Arizona</w:t>
      </w:r>
      <w:r>
        <w:rPr>
          <w:rFonts w:ascii="Times New Roman" w:cs="David" w:eastAsia="David" w:hAnsi="Times New Roman"/>
          <w:sz w:val="24"/>
          <w:szCs w:val="24"/>
          <w:rtl w:val="false"/>
        </w:rPr>
        <w:t xml:space="preserve">, 384 U.S. 436 (1966)</w:t>
      </w:r>
    </w:p>
    <w:p>
      <w:pPr>
        <w:bidi/>
        <w:spacing w:after="100" w:line="276"/>
        <w:ind w:left="360" w:hanging="360"/>
        <w:jc w:val="both"/>
      </w:pPr>
      <w:r>
        <w:rPr>
          <w:rFonts w:ascii="Times New Roman" w:cs="David" w:eastAsia="David" w:hAnsi="Times New Roman"/>
          <w:i/>
          <w:iCs/>
          <w:sz w:val="24"/>
          <w:szCs w:val="24"/>
          <w:rtl w:val="false"/>
        </w:rPr>
        <w:t xml:space="preserve">Rigby v. Chief Constable of Northamptonshire</w:t>
      </w:r>
      <w:r>
        <w:rPr>
          <w:rFonts w:ascii="Times New Roman" w:cs="David" w:eastAsia="David" w:hAnsi="Times New Roman"/>
          <w:sz w:val="24"/>
          <w:szCs w:val="24"/>
          <w:rtl w:val="false"/>
        </w:rPr>
        <w:t xml:space="preserve"> [1985] 1 WLR 1242 (QB)</w:t>
      </w:r>
    </w:p>
    <w:p>
      <w:pPr>
        <w:bidi/>
        <w:spacing w:after="100" w:line="276"/>
        <w:ind w:left="360" w:hanging="360"/>
        <w:jc w:val="both"/>
      </w:pPr>
      <w:r>
        <w:rPr>
          <w:rFonts w:ascii="Times New Roman" w:cs="David" w:eastAsia="David" w:hAnsi="Times New Roman"/>
          <w:i/>
          <w:iCs/>
          <w:sz w:val="24"/>
          <w:szCs w:val="24"/>
          <w:rtl w:val="false"/>
        </w:rPr>
        <w:t xml:space="preserve">Town of Castle Rock v. Gonzales</w:t>
      </w:r>
      <w:r>
        <w:rPr>
          <w:rFonts w:ascii="Times New Roman" w:cs="David" w:eastAsia="David" w:hAnsi="Times New Roman"/>
          <w:sz w:val="24"/>
          <w:szCs w:val="24"/>
          <w:rtl w:val="false"/>
        </w:rPr>
        <w:t xml:space="preserve">, 545 U.S. 748 (2005)</w:t>
      </w:r>
    </w:p>
    <w:p>
      <w:pPr>
        <w:bidi/>
        <w:spacing w:after="100" w:line="276"/>
        <w:ind w:left="360" w:hanging="360"/>
        <w:jc w:val="both"/>
      </w:pPr>
      <w:r>
        <w:rPr>
          <w:rFonts w:ascii="Times New Roman" w:cs="David" w:eastAsia="David" w:hAnsi="Times New Roman"/>
          <w:i/>
          <w:iCs/>
          <w:sz w:val="24"/>
          <w:szCs w:val="24"/>
          <w:rtl w:val="false"/>
        </w:rPr>
        <w:t xml:space="preserve">United States v. Mendenhall</w:t>
      </w:r>
      <w:r>
        <w:rPr>
          <w:rFonts w:ascii="Times New Roman" w:cs="David" w:eastAsia="David" w:hAnsi="Times New Roman"/>
          <w:sz w:val="24"/>
          <w:szCs w:val="24"/>
          <w:rtl w:val="false"/>
        </w:rPr>
        <w:t xml:space="preserve">, 446 U.S. 544 (1980)</w:t>
      </w:r>
    </w:p>
    <w:p>
      <w:pPr>
        <w:bidi/>
        <w:spacing w:after="100" w:line="276"/>
        <w:ind w:left="360" w:hanging="360"/>
        <w:jc w:val="both"/>
      </w:pPr>
      <w:r>
        <w:rPr>
          <w:rFonts w:ascii="Times New Roman" w:cs="David" w:eastAsia="David" w:hAnsi="Times New Roman"/>
          <w:i/>
          <w:iCs/>
          <w:sz w:val="24"/>
          <w:szCs w:val="24"/>
          <w:rtl w:val="false"/>
        </w:rPr>
        <w:t xml:space="preserve">White v. Beasley</w:t>
      </w:r>
      <w:r>
        <w:rPr>
          <w:rFonts w:ascii="Times New Roman" w:cs="David" w:eastAsia="David" w:hAnsi="Times New Roman"/>
          <w:sz w:val="24"/>
          <w:szCs w:val="24"/>
          <w:rtl w:val="false"/>
        </w:rPr>
        <w:t xml:space="preserve">, 453 Mich. 308 (1996)</w:t>
      </w:r>
    </w:p>
    <w:p>
      <w:pPr>
        <w:pStyle w:val="Heading2"/>
        <w:bidi/>
        <w:spacing w:after="160" w:before="240"/>
        <w:jc w:val="right"/>
      </w:pPr>
      <w:r>
        <w:rPr>
          <w:rFonts w:ascii="Times New Roman" w:cs="David" w:eastAsia="David" w:hAnsi="Times New Roman"/>
          <w:b/>
          <w:bCs/>
          <w:sz w:val="28"/>
          <w:szCs w:val="28"/>
          <w:rtl/>
        </w:rPr>
        <w:t xml:space="preserve">ספרים</w:t>
      </w:r>
    </w:p>
    <w:p>
      <w:pPr>
        <w:bidi/>
        <w:spacing w:after="100" w:line="276"/>
        <w:ind w:left="360" w:hanging="360"/>
        <w:jc w:val="both"/>
      </w:pPr>
      <w:r>
        <w:rPr>
          <w:rFonts w:ascii="Times New Roman" w:cs="David" w:eastAsia="David" w:hAnsi="Times New Roman"/>
          <w:sz w:val="24"/>
          <w:szCs w:val="24"/>
          <w:rtl/>
        </w:rPr>
        <w:t xml:space="preserve">אהרן ברק </w:t>
      </w:r>
      <w:r>
        <w:rPr>
          <w:rFonts w:ascii="Times New Roman" w:cs="David" w:eastAsia="David" w:hAnsi="Times New Roman"/>
          <w:b/>
          <w:bCs/>
          <w:sz w:val="24"/>
          <w:szCs w:val="24"/>
          <w:rtl/>
        </w:rPr>
        <w:t xml:space="preserve">פרשנות במשפט</w:t>
      </w:r>
      <w:r>
        <w:rPr>
          <w:rFonts w:ascii="Times New Roman" w:cs="David" w:eastAsia="David" w:hAnsi="Times New Roman"/>
          <w:sz w:val="24"/>
          <w:szCs w:val="24"/>
          <w:rtl/>
        </w:rPr>
        <w:t xml:space="preserve"> כרך ג: פרשנות חוקתית (1994)</w:t>
      </w:r>
    </w:p>
    <w:p>
      <w:pPr>
        <w:bidi/>
        <w:spacing w:after="100" w:line="276"/>
        <w:ind w:left="360" w:hanging="360"/>
        <w:jc w:val="both"/>
      </w:pPr>
      <w:r>
        <w:rPr>
          <w:rFonts w:ascii="Times New Roman" w:cs="David" w:eastAsia="David" w:hAnsi="Times New Roman"/>
          <w:sz w:val="24"/>
          <w:szCs w:val="24"/>
          <w:rtl/>
        </w:rPr>
        <w:t xml:space="preserve">אסף הרדוף </w:t>
      </w:r>
      <w:r>
        <w:rPr>
          <w:rFonts w:ascii="Times New Roman" w:cs="David" w:eastAsia="David" w:hAnsi="Times New Roman"/>
          <w:b/>
          <w:bCs/>
          <w:sz w:val="24"/>
          <w:szCs w:val="24"/>
          <w:rtl/>
        </w:rPr>
        <w:t xml:space="preserve">סדר הדין הפלילי</w:t>
      </w:r>
      <w:r>
        <w:rPr>
          <w:rFonts w:ascii="Times New Roman" w:cs="David" w:eastAsia="David" w:hAnsi="Times New Roman"/>
          <w:sz w:val="24"/>
          <w:szCs w:val="24"/>
          <w:rtl/>
        </w:rPr>
        <w:t xml:space="preserve"> חלק א (</w:t>
      </w:r>
      <w:r>
        <w:rPr>
          <w:rFonts w:ascii="Times New Roman" w:cs="David" w:eastAsia="David" w:hAnsi="Times New Roman"/>
          <w:sz w:val="24"/>
          <w:szCs w:val="24"/>
          <w:shd w:fill="FFF200" w:color="auto" w:val="clear"/>
          <w:rtl/>
        </w:rPr>
        <w:t xml:space="preserve">[שנה]</w:t>
      </w:r>
      <w:r>
        <w:rPr>
          <w:rFonts w:ascii="Times New Roman" w:cs="David" w:eastAsia="David" w:hAnsi="Times New Roman"/>
          <w:sz w:val="24"/>
          <w:szCs w:val="24"/>
          <w:rtl w:val="false"/>
        </w:rPr>
        <w:t xml:space="preserve">)</w:t>
      </w:r>
    </w:p>
    <w:p>
      <w:pPr>
        <w:bidi/>
        <w:spacing w:after="100" w:line="276"/>
        <w:ind w:left="360" w:hanging="360"/>
        <w:jc w:val="both"/>
      </w:pPr>
      <w:r>
        <w:rPr>
          <w:rFonts w:ascii="Times New Roman" w:cs="David" w:eastAsia="David" w:hAnsi="Times New Roman"/>
          <w:sz w:val="24"/>
          <w:szCs w:val="24"/>
          <w:rtl/>
        </w:rPr>
        <w:t xml:space="preserve">ארז פדן </w:t>
      </w:r>
      <w:r>
        <w:rPr>
          <w:rFonts w:ascii="Times New Roman" w:cs="David" w:eastAsia="David" w:hAnsi="Times New Roman"/>
          <w:b/>
          <w:bCs/>
          <w:sz w:val="24"/>
          <w:szCs w:val="24"/>
          <w:rtl/>
        </w:rPr>
        <w:t xml:space="preserve">פרקליטות 3.0: הפרקליטות כפי שהייתה, כפי שהינה וכפי שצריכה להיות</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(2022)</w:t>
      </w:r>
    </w:p>
    <w:p>
      <w:pPr>
        <w:bidi/>
        <w:spacing w:after="100" w:line="276"/>
        <w:ind w:left="360" w:hanging="360"/>
        <w:jc w:val="both"/>
      </w:pPr>
      <w:r>
        <w:rPr>
          <w:rFonts w:ascii="Times New Roman" w:cs="David" w:eastAsia="David" w:hAnsi="Times New Roman"/>
          <w:sz w:val="24"/>
          <w:szCs w:val="24"/>
          <w:rtl/>
        </w:rPr>
        <w:t xml:space="preserve">דפנה ברק-ארז </w:t>
      </w:r>
      <w:r>
        <w:rPr>
          <w:rFonts w:ascii="Times New Roman" w:cs="David" w:eastAsia="David" w:hAnsi="Times New Roman"/>
          <w:b/>
          <w:bCs/>
          <w:sz w:val="24"/>
          <w:szCs w:val="24"/>
          <w:rtl/>
        </w:rPr>
        <w:t xml:space="preserve">משפט מינהלי</w:t>
      </w:r>
      <w:r>
        <w:rPr>
          <w:rFonts w:ascii="Times New Roman" w:cs="David" w:eastAsia="David" w:hAnsi="Times New Roman"/>
          <w:sz w:val="24"/>
          <w:szCs w:val="24"/>
          <w:rtl/>
        </w:rPr>
        <w:t xml:space="preserve"> כרך א (2010)</w:t>
      </w:r>
    </w:p>
    <w:p>
      <w:pPr>
        <w:bidi/>
        <w:spacing w:after="100" w:line="276"/>
        <w:ind w:left="360" w:hanging="360"/>
        <w:jc w:val="both"/>
      </w:pPr>
      <w:r>
        <w:rPr>
          <w:rFonts w:ascii="Times New Roman" w:cs="David" w:eastAsia="David" w:hAnsi="Times New Roman"/>
          <w:sz w:val="24"/>
          <w:szCs w:val="24"/>
          <w:rtl/>
        </w:rPr>
        <w:t xml:space="preserve">ישראל גלעד </w:t>
      </w:r>
      <w:r>
        <w:rPr>
          <w:rFonts w:ascii="Times New Roman" w:cs="David" w:eastAsia="David" w:hAnsi="Times New Roman"/>
          <w:b/>
          <w:bCs/>
          <w:sz w:val="24"/>
          <w:szCs w:val="24"/>
          <w:rtl/>
        </w:rPr>
        <w:t xml:space="preserve">דיני נזיקין: גבולות האחריות</w:t>
      </w:r>
      <w:r>
        <w:rPr>
          <w:rFonts w:ascii="Times New Roman" w:cs="David" w:eastAsia="David" w:hAnsi="Times New Roman"/>
          <w:sz w:val="24"/>
          <w:szCs w:val="24"/>
          <w:rtl/>
        </w:rPr>
        <w:t xml:space="preserve"> כרך ב (2012)</w:t>
      </w:r>
    </w:p>
    <w:p>
      <w:pPr>
        <w:bidi/>
        <w:spacing w:after="100" w:line="276"/>
        <w:ind w:left="360" w:hanging="360"/>
        <w:jc w:val="both"/>
      </w:pPr>
      <w:r>
        <w:rPr>
          <w:rFonts w:ascii="Times New Roman" w:cs="David" w:eastAsia="David" w:hAnsi="Times New Roman"/>
          <w:sz w:val="24"/>
          <w:szCs w:val="24"/>
          <w:rtl/>
        </w:rPr>
        <w:t xml:space="preserve">מיכאל בירנהק </w:t>
      </w:r>
      <w:r>
        <w:rPr>
          <w:rFonts w:ascii="Times New Roman" w:cs="David" w:eastAsia="David" w:hAnsi="Times New Roman"/>
          <w:b/>
          <w:bCs/>
          <w:sz w:val="24"/>
          <w:szCs w:val="24"/>
          <w:rtl/>
        </w:rPr>
        <w:t xml:space="preserve">פרטיות חוקתית</w:t>
      </w:r>
      <w:r>
        <w:rPr>
          <w:rFonts w:ascii="Times New Roman" w:cs="David" w:eastAsia="David" w:hAnsi="Times New Roman"/>
          <w:sz w:val="24"/>
          <w:szCs w:val="24"/>
          <w:rtl w:val="false"/>
        </w:rPr>
        <w:t xml:space="preserve"> (2023)</w:t>
      </w:r>
    </w:p>
    <w:p>
      <w:pPr>
        <w:bidi/>
        <w:spacing w:after="100" w:line="276"/>
        <w:ind w:left="360" w:hanging="360"/>
        <w:jc w:val="both"/>
      </w:pPr>
      <w:r>
        <w:rPr>
          <w:rFonts w:ascii="Times New Roman" w:cs="David" w:eastAsia="David" w:hAnsi="Times New Roman"/>
          <w:sz w:val="24"/>
          <w:szCs w:val="24"/>
          <w:rtl/>
        </w:rPr>
        <w:t xml:space="preserve">פורום המרצות והמרצים למשפטים למען הדמוקרטיה </w:t>
      </w:r>
      <w:r>
        <w:rPr>
          <w:rFonts w:ascii="Times New Roman" w:cs="David" w:eastAsia="David" w:hAnsi="Times New Roman"/>
          <w:b/>
          <w:bCs/>
          <w:sz w:val="24"/>
          <w:szCs w:val="24"/>
          <w:rtl/>
        </w:rPr>
        <w:t xml:space="preserve">שינויי המשטר בישראל 2023: אסופת ניירות עמדה</w:t>
      </w:r>
      <w:r>
        <w:rPr>
          <w:rFonts w:ascii="Times New Roman" w:cs="David" w:eastAsia="David" w:hAnsi="Times New Roman"/>
          <w:sz w:val="24"/>
          <w:szCs w:val="24"/>
          <w:rtl w:val="false"/>
        </w:rPr>
        <w:t xml:space="preserve"> (2026)</w:t>
      </w:r>
    </w:p>
    <w:p>
      <w:pPr>
        <w:bidi/>
        <w:spacing w:after="100" w:line="276"/>
        <w:ind w:left="360" w:hanging="360"/>
        <w:jc w:val="both"/>
      </w:pPr>
      <w:r>
        <w:rPr>
          <w:rFonts w:ascii="Times New Roman" w:cs="David" w:eastAsia="David" w:hAnsi="Times New Roman"/>
          <w:sz w:val="24"/>
          <w:szCs w:val="24"/>
          <w:rtl/>
        </w:rPr>
        <w:t xml:space="preserve">רון שפירא, איתי ברסלר-גונן ואילנית הלל </w:t>
      </w:r>
      <w:r>
        <w:rPr>
          <w:rFonts w:ascii="Times New Roman" w:cs="David" w:eastAsia="David" w:hAnsi="Times New Roman"/>
          <w:b/>
          <w:bCs/>
          <w:sz w:val="24"/>
          <w:szCs w:val="24"/>
          <w:rtl/>
        </w:rPr>
        <w:t xml:space="preserve">הליכי מעצר: מורה נבוכים</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(2025)</w:t>
      </w:r>
    </w:p>
    <w:p>
      <w:pPr>
        <w:bidi/>
        <w:spacing w:after="100" w:line="276"/>
        <w:ind w:left="360" w:hanging="360"/>
        <w:jc w:val="both"/>
      </w:pPr>
      <w:r>
        <w:rPr>
          <w:rFonts w:ascii="Times New Roman" w:cs="David" w:eastAsia="David" w:hAnsi="Times New Roman"/>
          <w:sz w:val="24"/>
          <w:szCs w:val="24"/>
          <w:rtl/>
        </w:rPr>
        <w:t xml:space="preserve">רינת קיטאי סנג'רו </w:t>
      </w:r>
      <w:r>
        <w:rPr>
          <w:rFonts w:ascii="Times New Roman" w:cs="David" w:eastAsia="David" w:hAnsi="Times New Roman"/>
          <w:b/>
          <w:bCs/>
          <w:sz w:val="24"/>
          <w:szCs w:val="24"/>
          <w:rtl/>
        </w:rPr>
        <w:t xml:space="preserve">הזכות לאי-הפללה עצמית</w:t>
      </w:r>
      <w:r>
        <w:rPr>
          <w:rFonts w:ascii="Times New Roman" w:cs="David" w:eastAsia="David" w:hAnsi="Times New Roman"/>
          <w:sz w:val="24"/>
          <w:szCs w:val="24"/>
          <w:rtl w:val="false"/>
        </w:rPr>
        <w:t xml:space="preserve"> (2026)</w:t>
      </w:r>
    </w:p>
    <w:p>
      <w:pPr>
        <w:bidi/>
        <w:spacing w:after="100" w:line="276"/>
        <w:ind w:left="360" w:hanging="360"/>
        <w:jc w:val="both"/>
      </w:pPr>
      <w:r>
        <w:rPr>
          <w:rFonts w:ascii="Times New Roman" w:cs="David" w:eastAsia="David" w:hAnsi="Times New Roman"/>
          <w:sz w:val="24"/>
          <w:szCs w:val="24"/>
          <w:rtl/>
        </w:rPr>
        <w:t xml:space="preserve">שי שטרן </w:t>
      </w:r>
      <w:r>
        <w:rPr>
          <w:rFonts w:ascii="Times New Roman" w:cs="David" w:eastAsia="David" w:hAnsi="Times New Roman"/>
          <w:b/>
          <w:bCs/>
          <w:sz w:val="24"/>
          <w:szCs w:val="24"/>
          <w:rtl/>
        </w:rPr>
        <w:t xml:space="preserve">קהילות במשפט</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(2026)</w:t>
      </w:r>
    </w:p>
    <w:p>
      <w:pPr>
        <w:pStyle w:val="Heading2"/>
        <w:bidi/>
        <w:spacing w:after="160" w:before="240"/>
        <w:jc w:val="right"/>
      </w:pPr>
      <w:r>
        <w:rPr>
          <w:rFonts w:ascii="Times New Roman" w:cs="David" w:eastAsia="David" w:hAnsi="Times New Roman"/>
          <w:b/>
          <w:bCs/>
          <w:sz w:val="28"/>
          <w:szCs w:val="28"/>
          <w:rtl/>
        </w:rPr>
        <w:t xml:space="preserve">מאמרים ופרקים בספרים</w:t>
      </w:r>
    </w:p>
    <w:p>
      <w:pPr>
        <w:bidi/>
        <w:spacing w:after="100" w:line="276"/>
        <w:ind w:left="360" w:hanging="360"/>
        <w:jc w:val="both"/>
      </w:pPr>
      <w:r>
        <w:rPr>
          <w:rFonts w:ascii="Times New Roman" w:cs="David" w:eastAsia="David" w:hAnsi="Times New Roman"/>
          <w:sz w:val="24"/>
          <w:szCs w:val="24"/>
          <w:rtl/>
        </w:rPr>
        <w:t xml:space="preserve">איתי הרמלין "אומרים הסכמה (לחיפוש) יש בעולם. מה זאת הסכמה?" </w:t>
      </w:r>
      <w:r>
        <w:rPr>
          <w:rFonts w:ascii="Times New Roman" w:cs="David" w:eastAsia="David" w:hAnsi="Times New Roman"/>
          <w:b/>
          <w:bCs/>
          <w:sz w:val="24"/>
          <w:szCs w:val="24"/>
          <w:rtl/>
        </w:rPr>
        <w:t xml:space="preserve">75 שנות עצמאות במשפט</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[עורכים]</w:t>
      </w:r>
      <w:r>
        <w:rPr>
          <w:rFonts w:ascii="Times New Roman" w:cs="David" w:eastAsia="David" w:hAnsi="Times New Roman"/>
          <w:sz w:val="24"/>
          <w:szCs w:val="24"/>
          <w:rtl w:val="false"/>
        </w:rPr>
        <w:t xml:space="preserve">, 2023)</w:t>
      </w:r>
    </w:p>
    <w:p>
      <w:pPr>
        <w:bidi/>
        <w:spacing w:after="100" w:line="276"/>
        <w:ind w:left="360" w:hanging="360"/>
        <w:jc w:val="both"/>
      </w:pPr>
      <w:r>
        <w:rPr>
          <w:rFonts w:ascii="Times New Roman" w:cs="David" w:eastAsia="David" w:hAnsi="Times New Roman"/>
          <w:sz w:val="24"/>
          <w:szCs w:val="24"/>
          <w:rtl/>
        </w:rPr>
        <w:t xml:space="preserve">אסף הרדוף "ויתור, הידברות, בג"ץ: שחרור חסמים בסדר הדין הפלילי, צמצום הכוח המנהלי והגברת הביקורת השיפוטית" </w:t>
      </w:r>
      <w:r>
        <w:rPr>
          <w:rFonts w:ascii="Times New Roman" w:cs="David" w:eastAsia="David" w:hAnsi="Times New Roman"/>
          <w:b/>
          <w:bCs/>
          <w:sz w:val="24"/>
          <w:szCs w:val="24"/>
          <w:rtl/>
        </w:rPr>
        <w:t xml:space="preserve">ספר אליקים רובינשטיין</w:t>
      </w:r>
      <w:r>
        <w:rPr>
          <w:rFonts w:ascii="Times New Roman" w:cs="David" w:eastAsia="David" w:hAnsi="Times New Roman"/>
          <w:sz w:val="24"/>
          <w:szCs w:val="24"/>
          <w:rtl/>
        </w:rPr>
        <w:t xml:space="preserve"> 1817 (מרים ביטון עורכת, 2020)</w:t>
      </w:r>
    </w:p>
    <w:p>
      <w:pPr>
        <w:bidi/>
        <w:spacing w:after="100" w:line="276"/>
        <w:ind w:left="360" w:hanging="360"/>
        <w:jc w:val="both"/>
      </w:pPr>
      <w:r>
        <w:rPr>
          <w:rFonts w:ascii="Times New Roman" w:cs="David" w:eastAsia="David" w:hAnsi="Times New Roman"/>
          <w:sz w:val="24"/>
          <w:szCs w:val="24"/>
          <w:rtl/>
        </w:rPr>
        <w:t xml:space="preserve">אסף הרדוף "זכות מפלה ופריווילגיות של מדינה: חיסיון לטובת הציבור ונסיגה לטובת התקפה" </w:t>
      </w:r>
      <w:r>
        <w:rPr>
          <w:rFonts w:ascii="Times New Roman" w:cs="David" w:eastAsia="David" w:hAnsi="Times New Roman"/>
          <w:b/>
          <w:bCs/>
          <w:sz w:val="24"/>
          <w:szCs w:val="24"/>
          <w:rtl/>
        </w:rPr>
        <w:t xml:space="preserve">מחקרי משפט</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(2023)</w:t>
      </w:r>
    </w:p>
    <w:p>
      <w:pPr>
        <w:bidi/>
        <w:spacing w:after="100" w:line="276"/>
        <w:ind w:left="360" w:hanging="360"/>
        <w:jc w:val="both"/>
      </w:pPr>
      <w:r>
        <w:rPr>
          <w:rFonts w:ascii="Times New Roman" w:cs="David" w:eastAsia="David" w:hAnsi="Times New Roman"/>
          <w:sz w:val="24"/>
          <w:szCs w:val="24"/>
          <w:rtl/>
        </w:rPr>
        <w:t xml:space="preserve">אפרת פודם, אסף דרעי ושיר טולדנו "אם לא תמחק יבוא שוטר: דמותו של השוטר בחברה בראי מגמת תביעות הדיבה מצד שוטרים" </w:t>
      </w:r>
      <w:r>
        <w:rPr>
          <w:rFonts w:ascii="Times New Roman" w:cs="David" w:eastAsia="David" w:hAnsi="Times New Roman"/>
          <w:b/>
          <w:bCs/>
          <w:sz w:val="24"/>
          <w:szCs w:val="24"/>
          <w:rtl/>
        </w:rPr>
        <w:t xml:space="preserve">מעשי משפט</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(2023)</w:t>
      </w:r>
    </w:p>
    <w:p>
      <w:pPr>
        <w:bidi/>
        <w:spacing w:after="100" w:line="276"/>
        <w:ind w:left="360" w:hanging="360"/>
        <w:jc w:val="both"/>
      </w:pPr>
      <w:r>
        <w:rPr>
          <w:rFonts w:ascii="Times New Roman" w:cs="David" w:eastAsia="David" w:hAnsi="Times New Roman"/>
          <w:sz w:val="24"/>
          <w:szCs w:val="24"/>
          <w:rtl/>
        </w:rPr>
        <w:t xml:space="preserve">בעז סגל "נזיקין של רשויות במבט השוואתי: הפיצוי הנזיקי – מטרה או אמצעי?" </w:t>
      </w:r>
      <w:r>
        <w:rPr>
          <w:rFonts w:ascii="Times New Roman" w:cs="David" w:eastAsia="David" w:hAnsi="Times New Roman"/>
          <w:b/>
          <w:bCs/>
          <w:sz w:val="24"/>
          <w:szCs w:val="24"/>
          <w:rtl/>
        </w:rPr>
        <w:t xml:space="preserve">הפרקליט</w:t>
      </w:r>
      <w:r>
        <w:rPr>
          <w:rFonts w:ascii="Times New Roman" w:cs="David" w:eastAsia="David" w:hAnsi="Times New Roman"/>
          <w:sz w:val="24"/>
          <w:szCs w:val="24"/>
          <w:rtl/>
        </w:rPr>
        <w:t xml:space="preserve"> נו 111 (התשפ"ד)</w:t>
      </w:r>
    </w:p>
    <w:p>
      <w:pPr>
        <w:bidi/>
        <w:spacing w:after="100" w:line="276"/>
        <w:ind w:left="360" w:hanging="360"/>
        <w:jc w:val="both"/>
      </w:pPr>
      <w:r>
        <w:rPr>
          <w:rFonts w:ascii="Times New Roman" w:cs="David" w:eastAsia="David" w:hAnsi="Times New Roman"/>
          <w:sz w:val="24"/>
          <w:szCs w:val="24"/>
          <w:rtl/>
        </w:rPr>
        <w:t xml:space="preserve">גילה אמיתי וענבל וילמובסקי "קרימינולוגיה ביקורתית: עוגנים תיאורטיים ויישום" </w:t>
      </w:r>
      <w:r>
        <w:rPr>
          <w:rFonts w:ascii="Times New Roman" w:cs="David" w:eastAsia="David" w:hAnsi="Times New Roman"/>
          <w:b/>
          <w:bCs/>
          <w:sz w:val="24"/>
          <w:szCs w:val="24"/>
          <w:rtl/>
        </w:rPr>
        <w:t xml:space="preserve">קרימינולוגיה ישראלית</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[עורכים]</w:t>
      </w:r>
      <w:r>
        <w:rPr>
          <w:rFonts w:ascii="Times New Roman" w:cs="David" w:eastAsia="David" w:hAnsi="Times New Roman"/>
          <w:sz w:val="24"/>
          <w:szCs w:val="24"/>
          <w:rtl w:val="false"/>
        </w:rPr>
        <w:t xml:space="preserve">, 2022)</w:t>
      </w:r>
    </w:p>
    <w:p>
      <w:pPr>
        <w:bidi/>
        <w:spacing w:after="100" w:line="276"/>
        <w:ind w:left="360" w:hanging="360"/>
        <w:jc w:val="both"/>
      </w:pPr>
      <w:r>
        <w:rPr>
          <w:rFonts w:ascii="Times New Roman" w:cs="David" w:eastAsia="David" w:hAnsi="Times New Roman"/>
          <w:sz w:val="24"/>
          <w:szCs w:val="24"/>
          <w:rtl/>
        </w:rPr>
        <w:t xml:space="preserve">דיוויד וייסבורד וג'ון א' אק "מה יכולה המשטרה לעשות כדי להפחית פשיעה, אי-סדר ופחד מפשיעה?" </w:t>
      </w:r>
      <w:r>
        <w:rPr>
          <w:rFonts w:ascii="Times New Roman" w:cs="David" w:eastAsia="David" w:hAnsi="Times New Roman"/>
          <w:b/>
          <w:bCs/>
          <w:sz w:val="24"/>
          <w:szCs w:val="24"/>
          <w:rtl/>
        </w:rPr>
        <w:t xml:space="preserve">עבריינות וסטייה חברתית: תאוריה ויישום</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[עורכים]</w:t>
      </w:r>
      <w:r>
        <w:rPr>
          <w:rFonts w:ascii="Times New Roman" w:cs="David" w:eastAsia="David" w:hAnsi="Times New Roman"/>
          <w:sz w:val="24"/>
          <w:szCs w:val="24"/>
          <w:rtl w:val="false"/>
        </w:rPr>
        <w:t xml:space="preserve">, 2022)</w:t>
      </w:r>
    </w:p>
    <w:p>
      <w:pPr>
        <w:bidi/>
        <w:spacing w:after="100" w:line="276"/>
        <w:ind w:left="360" w:hanging="360"/>
        <w:jc w:val="both"/>
      </w:pPr>
      <w:r>
        <w:rPr>
          <w:rFonts w:ascii="Times New Roman" w:cs="David" w:eastAsia="David" w:hAnsi="Times New Roman"/>
          <w:sz w:val="24"/>
          <w:szCs w:val="24"/>
          <w:rtl/>
        </w:rPr>
        <w:t xml:space="preserve">יואב ספיר "שיח הזכויות, פופוליזם והתגובה לפשיעה בחברה הערבית: על הצורך בהגנה חוקתית משודרגת על זכויות בפלילים" </w:t>
      </w:r>
      <w:r>
        <w:rPr>
          <w:rFonts w:ascii="Times New Roman" w:cs="David" w:eastAsia="David" w:hAnsi="Times New Roman"/>
          <w:b/>
          <w:bCs/>
          <w:sz w:val="24"/>
          <w:szCs w:val="24"/>
          <w:rtl/>
        </w:rPr>
        <w:t xml:space="preserve">משפטים על אתר</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[כרך]</w:t>
      </w:r>
      <w:r>
        <w:rPr>
          <w:rFonts w:ascii="Times New Roman" w:cs="David" w:eastAsia="David" w:hAnsi="Times New Roman"/>
          <w:sz w:val="24"/>
          <w:szCs w:val="24"/>
          <w:rtl w:val="false"/>
        </w:rPr>
        <w:t xml:space="preserve"> </w:t>
      </w:r>
      <w:r>
        <w:rPr>
          <w:rFonts w:ascii="Times New Roman" w:cs="David" w:eastAsia="David" w:hAnsi="Times New Roman"/>
          <w:sz w:val="24"/>
          <w:szCs w:val="24"/>
          <w:shd w:fill="FFF200" w:color="auto" w:val="clear"/>
          <w:rtl/>
        </w:rPr>
        <w:t xml:space="preserve">[עמוד]</w:t>
      </w:r>
      <w:r>
        <w:rPr>
          <w:rFonts w:ascii="Times New Roman" w:cs="David" w:eastAsia="David" w:hAnsi="Times New Roman"/>
          <w:sz w:val="24"/>
          <w:szCs w:val="24"/>
          <w:rtl w:val="false"/>
        </w:rPr>
        <w:t xml:space="preserve"> (2025)</w:t>
      </w:r>
    </w:p>
    <w:p>
      <w:pPr>
        <w:bidi/>
        <w:spacing w:after="100" w:line="276"/>
        <w:ind w:left="360" w:hanging="360"/>
        <w:jc w:val="both"/>
      </w:pPr>
      <w:r>
        <w:rPr>
          <w:rFonts w:ascii="Times New Roman" w:cs="David" w:eastAsia="David" w:hAnsi="Times New Roman"/>
          <w:sz w:val="24"/>
          <w:szCs w:val="24"/>
          <w:rtl/>
        </w:rPr>
        <w:t xml:space="preserve">נעמי לבנקרון "'אהיה אני המרטין לותר קינג של המשטרה': איסור ההתארגנות על השוטרים בישראל והשפעתו על זכויותיהם כעובדים" </w:t>
      </w:r>
      <w:r>
        <w:rPr>
          <w:rFonts w:ascii="Times New Roman" w:cs="David" w:eastAsia="David" w:hAnsi="Times New Roman"/>
          <w:b/>
          <w:bCs/>
          <w:sz w:val="24"/>
          <w:szCs w:val="24"/>
          <w:rtl/>
        </w:rPr>
        <w:t xml:space="preserve">עבודה, חברה ומשפט</w:t>
      </w:r>
      <w:r>
        <w:rPr>
          <w:rFonts w:ascii="Times New Roman" w:cs="David" w:eastAsia="David" w:hAnsi="Times New Roman"/>
          <w:sz w:val="24"/>
          <w:szCs w:val="24"/>
          <w:rtl/>
        </w:rPr>
        <w:t xml:space="preserve"> טז 27 (2020)</w:t>
      </w:r>
    </w:p>
    <w:p>
      <w:pPr>
        <w:bidi/>
        <w:spacing w:after="100" w:line="276"/>
        <w:ind w:left="360" w:hanging="360"/>
        <w:jc w:val="both"/>
      </w:pPr>
      <w:r>
        <w:rPr>
          <w:rFonts w:ascii="Times New Roman" w:cs="David" w:eastAsia="David" w:hAnsi="Times New Roman"/>
          <w:sz w:val="24"/>
          <w:szCs w:val="24"/>
          <w:rtl/>
        </w:rPr>
        <w:t xml:space="preserve">רותם קדוש נוסבאום "פגיעה בזכויות אדם בשל שימוש משטרתי באמצעים טכנולוגיים למעקב ושיטור מנבא" </w:t>
      </w:r>
      <w:r>
        <w:rPr>
          <w:rFonts w:ascii="Times New Roman" w:cs="David" w:eastAsia="David" w:hAnsi="Times New Roman"/>
          <w:b/>
          <w:bCs/>
          <w:sz w:val="24"/>
          <w:szCs w:val="24"/>
          <w:rtl/>
        </w:rPr>
        <w:t xml:space="preserve">המשפט</w:t>
      </w:r>
      <w:r>
        <w:rPr>
          <w:rFonts w:ascii="Times New Roman" w:cs="David" w:eastAsia="David" w:hAnsi="Times New Roman"/>
          <w:sz w:val="24"/>
          <w:szCs w:val="24"/>
          <w:rtl/>
        </w:rPr>
        <w:t xml:space="preserve"> לא 79 (התשפ"ו)</w:t>
      </w:r>
    </w:p>
    <w:p>
      <w:pPr>
        <w:bidi/>
        <w:spacing w:after="100" w:line="276"/>
        <w:ind w:left="360" w:hanging="360"/>
        <w:jc w:val="both"/>
      </w:pPr>
      <w:r>
        <w:rPr>
          <w:rFonts w:ascii="Times New Roman" w:cs="David" w:eastAsia="David" w:hAnsi="Times New Roman"/>
          <w:sz w:val="24"/>
          <w:szCs w:val="24"/>
          <w:rtl/>
        </w:rPr>
        <w:t xml:space="preserve">שי דרומי "מה המחיר של החופש להפגין? ההגנה על זכות ההפגנה בדיני הנזיקין" </w:t>
      </w:r>
      <w:r>
        <w:rPr>
          <w:rFonts w:ascii="Times New Roman" w:cs="David" w:eastAsia="David" w:hAnsi="Times New Roman"/>
          <w:b/>
          <w:bCs/>
          <w:sz w:val="24"/>
          <w:szCs w:val="24"/>
          <w:rtl/>
        </w:rPr>
        <w:t xml:space="preserve">משפטים על אתר</w:t>
      </w:r>
      <w:r>
        <w:rPr>
          <w:rFonts w:ascii="Times New Roman" w:cs="David" w:eastAsia="David" w:hAnsi="Times New Roman"/>
          <w:sz w:val="24"/>
          <w:szCs w:val="24"/>
          <w:rtl/>
        </w:rPr>
        <w:t xml:space="preserve"> כ 207 (2025)</w:t>
      </w:r>
    </w:p>
    <w:p>
      <w:pPr>
        <w:pStyle w:val="Heading2"/>
        <w:bidi/>
        <w:spacing w:after="160" w:before="240"/>
        <w:jc w:val="right"/>
      </w:pPr>
      <w:r>
        <w:rPr>
          <w:rFonts w:ascii="Times New Roman" w:cs="David" w:eastAsia="David" w:hAnsi="Times New Roman"/>
          <w:b/>
          <w:bCs/>
          <w:sz w:val="28"/>
          <w:szCs w:val="28"/>
          <w:rtl/>
        </w:rPr>
        <w:t xml:space="preserve">מקורות שאוזכרו כמובא במקור אחר</w:t>
      </w:r>
    </w:p>
    <w:p>
      <w:pPr>
        <w:bidi/>
        <w:spacing w:after="100" w:line="276"/>
        <w:ind w:left="360" w:hanging="360"/>
        <w:jc w:val="both"/>
      </w:pPr>
      <w:r>
        <w:rPr>
          <w:rFonts w:ascii="Times New Roman" w:cs="David" w:eastAsia="David" w:hAnsi="Times New Roman"/>
          <w:sz w:val="24"/>
          <w:szCs w:val="24"/>
          <w:rtl/>
        </w:rPr>
        <w:t xml:space="preserve">אהרן ברק "המשטרה וזכויות האזרח" (הרצאה ביום עיון בנושא: זכויות האזרח ואכיפת החוק במסגרת שבוע המשטרה וזכויות האזרח, 1986), כמובא אצל דרומי.</w:t>
      </w:r>
    </w:p>
    <w:p>
      <w:pPr>
        <w:bidi/>
        <w:spacing w:after="100" w:line="276"/>
        <w:ind w:left="360" w:hanging="360"/>
        <w:jc w:val="both"/>
      </w:pPr>
      <w:r>
        <w:rPr>
          <w:rFonts w:ascii="Times New Roman" w:cs="David" w:eastAsia="David" w:hAnsi="Times New Roman"/>
          <w:sz w:val="24"/>
          <w:szCs w:val="24"/>
          <w:rtl/>
        </w:rPr>
        <w:t xml:space="preserve">באדי חסייסי ויעל ליטמנוביץ "משילות ויעילות בשיטור מיעוטים בחברות שסועות: נקודת המבט של מפקדי תחנות משטרה על החברה הערבית בישראל" </w:t>
      </w:r>
      <w:r>
        <w:rPr>
          <w:rFonts w:ascii="Times New Roman" w:cs="David" w:eastAsia="David" w:hAnsi="Times New Roman"/>
          <w:b/>
          <w:bCs/>
          <w:sz w:val="24"/>
          <w:szCs w:val="24"/>
          <w:rtl/>
        </w:rPr>
        <w:t xml:space="preserve">משפט ומשטרה</w:t>
      </w:r>
      <w:r>
        <w:rPr>
          <w:rFonts w:ascii="Times New Roman" w:cs="David" w:eastAsia="David" w:hAnsi="Times New Roman"/>
          <w:sz w:val="24"/>
          <w:szCs w:val="24"/>
          <w:rtl/>
        </w:rPr>
        <w:t xml:space="preserve"> 265 (2021), כמובא אצל קדוש נוסבאום.</w:t>
      </w:r>
    </w:p>
    <w:p>
      <w:pPr>
        <w:bidi/>
        <w:spacing w:after="100" w:line="276"/>
        <w:ind w:left="360" w:hanging="360"/>
        <w:jc w:val="both"/>
      </w:pPr>
      <w:r>
        <w:rPr>
          <w:rFonts w:ascii="Times New Roman" w:cs="David" w:eastAsia="David" w:hAnsi="Times New Roman"/>
          <w:sz w:val="24"/>
          <w:szCs w:val="24"/>
          <w:rtl w:val="false"/>
        </w:rPr>
        <w:t xml:space="preserve">Badi Hasisi &amp; Ronald Weitzer, </w:t>
      </w:r>
      <w:r>
        <w:rPr>
          <w:rFonts w:ascii="Times New Roman" w:cs="David" w:eastAsia="David" w:hAnsi="Times New Roman"/>
          <w:i/>
          <w:iCs/>
          <w:sz w:val="24"/>
          <w:szCs w:val="24"/>
          <w:rtl w:val="false"/>
        </w:rPr>
        <w:t xml:space="preserve">Police Relations with Arabs and Jews in Israel</w:t>
      </w:r>
      <w:r>
        <w:rPr>
          <w:rFonts w:ascii="Times New Roman" w:cs="David" w:eastAsia="David" w:hAnsi="Times New Roman"/>
          <w:sz w:val="24"/>
          <w:szCs w:val="24"/>
          <w:rtl w:val="false"/>
        </w:rPr>
        <w:t xml:space="preserve">, 47 BRIT. J. CRIMINOLOGY 728 (2007).</w:t>
      </w:r>
    </w:p>
    <w:p>
      <w:pPr>
        <w:bidi/>
        <w:spacing w:after="100" w:line="276"/>
        <w:ind w:left="360" w:hanging="360"/>
        <w:jc w:val="both"/>
      </w:pPr>
      <w:r>
        <w:rPr>
          <w:rFonts w:ascii="Times New Roman" w:cs="David" w:eastAsia="David" w:hAnsi="Times New Roman"/>
          <w:sz w:val="24"/>
          <w:szCs w:val="24"/>
          <w:rtl w:val="false"/>
        </w:rPr>
        <w:t xml:space="preserve">Stephen Halpern, </w:t>
      </w:r>
      <w:r>
        <w:rPr>
          <w:rFonts w:ascii="Times New Roman" w:cs="David" w:eastAsia="David" w:hAnsi="Times New Roman"/>
          <w:i/>
          <w:iCs/>
          <w:sz w:val="24"/>
          <w:szCs w:val="24"/>
          <w:rtl w:val="false"/>
        </w:rPr>
        <w:t xml:space="preserve">Police Employee Organizations and Accountability Procedures in Three Cities: Some Reflections on Police Policy-Making</w:t>
      </w:r>
      <w:r>
        <w:rPr>
          <w:rFonts w:ascii="Times New Roman" w:cs="David" w:eastAsia="David" w:hAnsi="Times New Roman"/>
          <w:sz w:val="24"/>
          <w:szCs w:val="24"/>
          <w:rtl w:val="false"/>
        </w:rPr>
        <w:t xml:space="preserve">, 8 LAW &amp; SOC'Y REV. 561 (1974).</w:t>
      </w:r>
    </w:p>
    <w:p>
      <w:pPr>
        <w:bidi/>
        <w:spacing w:after="100" w:line="276"/>
        <w:ind w:left="360" w:hanging="360"/>
        <w:jc w:val="both"/>
      </w:pPr>
      <w:r>
        <w:rPr>
          <w:rFonts w:ascii="Times New Roman" w:cs="David" w:eastAsia="David" w:hAnsi="Times New Roman"/>
          <w:sz w:val="24"/>
          <w:szCs w:val="24"/>
          <w:rtl w:val="false"/>
        </w:rPr>
        <w:t xml:space="preserve">Kent Roach, </w:t>
      </w:r>
      <w:r>
        <w:rPr>
          <w:rFonts w:ascii="Times New Roman" w:cs="David" w:eastAsia="David" w:hAnsi="Times New Roman"/>
          <w:i/>
          <w:iCs/>
          <w:sz w:val="24"/>
          <w:szCs w:val="24"/>
          <w:rtl w:val="false"/>
        </w:rPr>
        <w:t xml:space="preserve">Models of Civilian Police Review: The Objectives and Mechanisms of Legal and Political Regulation of the Police</w:t>
      </w:r>
      <w:r>
        <w:rPr>
          <w:rFonts w:ascii="Times New Roman" w:cs="David" w:eastAsia="David" w:hAnsi="Times New Roman"/>
          <w:sz w:val="24"/>
          <w:szCs w:val="24"/>
          <w:rtl w:val="false"/>
        </w:rPr>
        <w:t xml:space="preserve">, 61 CRIM. L.Q. 29 (2014).</w:t>
      </w:r>
    </w:p>
    <w:p>
      <w:pPr>
        <w:bidi/>
        <w:spacing w:after="100" w:line="276"/>
        <w:ind w:left="360" w:hanging="360"/>
        <w:jc w:val="both"/>
      </w:pPr>
      <w:r>
        <w:rPr>
          <w:rFonts w:ascii="Times New Roman" w:cs="David" w:eastAsia="David" w:hAnsi="Times New Roman"/>
          <w:sz w:val="24"/>
          <w:szCs w:val="24"/>
          <w:rtl w:val="false"/>
        </w:rPr>
        <w:t xml:space="preserve">Jason Sunshine &amp; Tom R. Tyler, </w:t>
      </w:r>
      <w:r>
        <w:rPr>
          <w:rFonts w:ascii="Times New Roman" w:cs="David" w:eastAsia="David" w:hAnsi="Times New Roman"/>
          <w:i/>
          <w:iCs/>
          <w:sz w:val="24"/>
          <w:szCs w:val="24"/>
          <w:rtl w:val="false"/>
        </w:rPr>
        <w:t xml:space="preserve">The Role of Procedural Justice and Legitimacy in Shaping Public Support for Policing</w:t>
      </w:r>
      <w:r>
        <w:rPr>
          <w:rFonts w:ascii="Times New Roman" w:cs="David" w:eastAsia="David" w:hAnsi="Times New Roman"/>
          <w:sz w:val="24"/>
          <w:szCs w:val="24"/>
          <w:rtl w:val="false"/>
        </w:rPr>
        <w:t xml:space="preserve">, 37 LAW &amp; SOC'Y REV. 513 (2003).</w:t>
      </w:r>
    </w:p>
    <w:p>
      <w:pPr>
        <w:bidi/>
        <w:spacing w:after="100" w:line="276"/>
        <w:ind w:left="360" w:hanging="360"/>
        <w:jc w:val="both"/>
      </w:pPr>
      <w:r>
        <w:rPr>
          <w:rFonts w:ascii="Times New Roman" w:cs="David" w:eastAsia="David" w:hAnsi="Times New Roman"/>
          <w:sz w:val="24"/>
          <w:szCs w:val="24"/>
          <w:rtl w:val="false"/>
        </w:rPr>
        <w:t xml:space="preserve">Tom R. Tyler &amp; Jeffrey Fagan, </w:t>
      </w:r>
      <w:r>
        <w:rPr>
          <w:rFonts w:ascii="Times New Roman" w:cs="David" w:eastAsia="David" w:hAnsi="Times New Roman"/>
          <w:i/>
          <w:iCs/>
          <w:sz w:val="24"/>
          <w:szCs w:val="24"/>
          <w:rtl w:val="false"/>
        </w:rPr>
        <w:t xml:space="preserve">Legitimacy and Cooperation: Why Do People Help the Police Fight Crime in Their Communities?</w:t>
      </w:r>
      <w:r>
        <w:rPr>
          <w:rFonts w:ascii="Times New Roman" w:cs="David" w:eastAsia="David" w:hAnsi="Times New Roman"/>
          <w:sz w:val="24"/>
          <w:szCs w:val="24"/>
          <w:rtl w:val="false"/>
        </w:rPr>
        <w:t xml:space="preserve">, 6 OHIO ST. J. CRIM. L. 231 (2008).</w:t>
      </w:r>
    </w:p>
    <w:p>
      <w:pPr>
        <w:bidi/>
        <w:spacing w:after="100" w:line="276"/>
        <w:ind w:left="360" w:hanging="360"/>
        <w:jc w:val="both"/>
      </w:pPr>
      <w:r>
        <w:rPr>
          <w:rFonts w:ascii="Times New Roman" w:cs="David" w:eastAsia="David" w:hAnsi="Times New Roman"/>
          <w:sz w:val="24"/>
          <w:szCs w:val="24"/>
          <w:rtl w:val="false"/>
        </w:rPr>
        <w:t xml:space="preserve">Moule et al. </w:t>
      </w:r>
      <w:r>
        <w:rPr>
          <w:rFonts w:ascii="Times New Roman" w:cs="David" w:eastAsia="David" w:hAnsi="Times New Roman"/>
          <w:sz w:val="24"/>
          <w:szCs w:val="24"/>
          <w:shd w:fill="FFF200" w:color="auto" w:val="clear"/>
          <w:rtl/>
        </w:rPr>
        <w:t xml:space="preserve">[פרטי המאמר כפי שהם מופיעים בהערת השוליים של הפורום]</w:t>
      </w:r>
      <w:r>
        <w:rPr>
          <w:rFonts w:ascii="Times New Roman" w:cs="David" w:eastAsia="David" w:hAnsi="Times New Roman"/>
          <w:sz w:val="24"/>
          <w:szCs w:val="24"/>
          <w:rtl w:val="false"/>
        </w:rPr>
        <w:t xml:space="preserve"> (2019).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40"/>
        <w:jc w:val="both"/>
      </w:pPr>
      <w:r>
        <w:rPr>
          <w:rStyle w:val="FootnoteReference"/>
        </w:rPr>
        <w:footnoteRef/>
      </w:r>
      <w:r>
        <w:rPr>
          <w:rFonts w:ascii="Times New Roman" w:cs="David" w:eastAsia="David" w:hAnsi="Times New Roman"/>
          <w:sz w:val="20"/>
          <w:szCs w:val="20"/>
          <w:rtl/>
        </w:rPr>
        <w:t xml:space="preserve"> ארז פדן </w:t>
      </w:r>
      <w:r>
        <w:rPr>
          <w:rFonts w:ascii="Times New Roman" w:cs="David" w:eastAsia="David" w:hAnsi="Times New Roman"/>
          <w:b/>
          <w:bCs/>
          <w:sz w:val="20"/>
          <w:szCs w:val="20"/>
          <w:rtl/>
        </w:rPr>
        <w:t xml:space="preserve">פרקליטות 3.0: הפרקליטות כפי שהייתה, כפי שהינה וכפי שצריכה להיות</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(2022).</w:t>
      </w:r>
    </w:p>
  </w:footnote>
  <w:footnote w:id="2">
    <w:p>
      <w:pPr>
        <w:bidi/>
        <w:spacing w:after="40" w:line="240"/>
        <w:jc w:val="both"/>
      </w:pPr>
      <w:r>
        <w:rPr>
          <w:rStyle w:val="FootnoteReference"/>
        </w:rPr>
        <w:footnoteRef/>
      </w:r>
      <w:r>
        <w:rPr>
          <w:rFonts w:ascii="Times New Roman" w:cs="David" w:eastAsia="David" w:hAnsi="Times New Roman"/>
          <w:sz w:val="20"/>
          <w:szCs w:val="20"/>
          <w:rtl/>
        </w:rPr>
        <w:t xml:space="preserve"> יואב ספיר "שיח הזכויות, פופוליזם והתגובה לפשיעה בחברה הערבית: על הצורך בהגנה חוקתית משודרגת על זכויות בפלילים" </w:t>
      </w:r>
      <w:r>
        <w:rPr>
          <w:rFonts w:ascii="Times New Roman" w:cs="David" w:eastAsia="David" w:hAnsi="Times New Roman"/>
          <w:b/>
          <w:bCs/>
          <w:sz w:val="20"/>
          <w:szCs w:val="20"/>
          <w:rtl/>
        </w:rPr>
        <w:t xml:space="preserve">משפטים על אתר</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(2025).</w:t>
      </w:r>
    </w:p>
  </w:footnote>
  <w:footnote w:id="3">
    <w:p>
      <w:pPr>
        <w:bidi/>
        <w:spacing w:after="40" w:line="240"/>
        <w:jc w:val="both"/>
      </w:pPr>
      <w:r>
        <w:rPr>
          <w:rStyle w:val="FootnoteReference"/>
        </w:rPr>
        <w:footnoteRef/>
      </w:r>
      <w:r>
        <w:rPr>
          <w:rFonts w:ascii="Times New Roman" w:cs="David" w:eastAsia="David" w:hAnsi="Times New Roman"/>
          <w:sz w:val="20"/>
          <w:szCs w:val="20"/>
          <w:rtl/>
        </w:rPr>
        <w:t xml:space="preserve"> גילה אמיתי וענבל וילמובסקי "קרימינולוגיה ביקורתית: עוגנים תיאורטיים ויישום" </w:t>
      </w:r>
      <w:r>
        <w:rPr>
          <w:rFonts w:ascii="Times New Roman" w:cs="David" w:eastAsia="David" w:hAnsi="Times New Roman"/>
          <w:b/>
          <w:bCs/>
          <w:sz w:val="20"/>
          <w:szCs w:val="20"/>
          <w:rtl/>
        </w:rPr>
        <w:t xml:space="preserve">קרימינולוגיה ישראלית</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[עורכים]</w:t>
      </w:r>
      <w:r>
        <w:rPr>
          <w:rFonts w:ascii="Times New Roman" w:cs="David" w:eastAsia="David" w:hAnsi="Times New Roman"/>
          <w:sz w:val="20"/>
          <w:szCs w:val="20"/>
          <w:rtl w:val="false"/>
        </w:rPr>
        <w:t xml:space="preserve">, 2022).</w:t>
      </w:r>
    </w:p>
  </w:footnote>
  <w:footnote w:id="4">
    <w:p>
      <w:pPr>
        <w:bidi/>
        <w:spacing w:after="40" w:line="240"/>
        <w:jc w:val="both"/>
      </w:pPr>
      <w:r>
        <w:rPr>
          <w:rStyle w:val="FootnoteReference"/>
        </w:rPr>
        <w:footnoteRef/>
      </w:r>
      <w:r>
        <w:rPr>
          <w:rFonts w:ascii="Times New Roman" w:cs="David" w:eastAsia="David" w:hAnsi="Times New Roman"/>
          <w:sz w:val="20"/>
          <w:szCs w:val="20"/>
          <w:rtl/>
        </w:rPr>
        <w:t xml:space="preserve"> דיוויד וייסבורד וג'ון א' אק "מה יכולה המשטרה לעשות כדי להפחית פשיעה, אי-סדר ופחד מפשיעה?" </w:t>
      </w:r>
      <w:r>
        <w:rPr>
          <w:rFonts w:ascii="Times New Roman" w:cs="David" w:eastAsia="David" w:hAnsi="Times New Roman"/>
          <w:b/>
          <w:bCs/>
          <w:sz w:val="20"/>
          <w:szCs w:val="20"/>
          <w:rtl/>
        </w:rPr>
        <w:t xml:space="preserve">עבריינות וסטייה חברתית: תאוריה ויישום</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[עורכים]</w:t>
      </w:r>
      <w:r>
        <w:rPr>
          <w:rFonts w:ascii="Times New Roman" w:cs="David" w:eastAsia="David" w:hAnsi="Times New Roman"/>
          <w:sz w:val="20"/>
          <w:szCs w:val="20"/>
          <w:rtl w:val="false"/>
        </w:rPr>
        <w:t xml:space="preserve">, 2022).</w:t>
      </w:r>
    </w:p>
  </w:footnote>
  <w:footnote w:id="5">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6">
    <w:p>
      <w:pPr>
        <w:bidi/>
        <w:spacing w:after="40" w:line="240"/>
        <w:jc w:val="both"/>
      </w:pPr>
      <w:r>
        <w:rPr>
          <w:rStyle w:val="FootnoteReference"/>
        </w:rPr>
        <w:footnoteRef/>
      </w:r>
      <w:r>
        <w:rPr>
          <w:rFonts w:ascii="Times New Roman" w:cs="David" w:eastAsia="David" w:hAnsi="Times New Roman"/>
          <w:sz w:val="20"/>
          <w:szCs w:val="20"/>
          <w:rtl/>
        </w:rPr>
        <w:t xml:space="preserve"> בג"ץ 7839/19 </w:t>
      </w:r>
      <w:r>
        <w:rPr>
          <w:rFonts w:ascii="Times New Roman" w:cs="David" w:eastAsia="David" w:hAnsi="Times New Roman"/>
          <w:b/>
          <w:bCs/>
          <w:sz w:val="20"/>
          <w:szCs w:val="20"/>
          <w:rtl/>
        </w:rPr>
        <w:t xml:space="preserve">פלוני נ' משטרת ישראל</w:t>
      </w:r>
      <w:r>
        <w:rPr>
          <w:rFonts w:ascii="Times New Roman" w:cs="David" w:eastAsia="David" w:hAnsi="Times New Roman"/>
          <w:sz w:val="20"/>
          <w:szCs w:val="20"/>
          <w:rtl/>
        </w:rPr>
        <w:t xml:space="preserve"> (נבו 19.10.2020).</w:t>
      </w:r>
    </w:p>
  </w:footnote>
  <w:footnote w:id="7">
    <w:p>
      <w:pPr>
        <w:bidi/>
        <w:spacing w:after="40" w:line="240"/>
        <w:jc w:val="both"/>
      </w:pPr>
      <w:r>
        <w:rPr>
          <w:rStyle w:val="FootnoteReference"/>
        </w:rPr>
        <w:footnoteRef/>
      </w:r>
      <w:r>
        <w:rPr>
          <w:rFonts w:ascii="Times New Roman" w:cs="David" w:eastAsia="David" w:hAnsi="Times New Roman"/>
          <w:sz w:val="20"/>
          <w:szCs w:val="20"/>
          <w:rtl/>
        </w:rPr>
        <w:t xml:space="preserve"> בג"ץ 4475/17 </w:t>
      </w:r>
      <w:r>
        <w:rPr>
          <w:rFonts w:ascii="Times New Roman" w:cs="David" w:eastAsia="David" w:hAnsi="Times New Roman"/>
          <w:b/>
          <w:bCs/>
          <w:sz w:val="20"/>
          <w:szCs w:val="20"/>
          <w:rtl/>
        </w:rPr>
        <w:t xml:space="preserve">פרידמן נ' משטרת ישראל</w:t>
      </w:r>
      <w:r>
        <w:rPr>
          <w:rFonts w:ascii="Times New Roman" w:cs="David" w:eastAsia="David" w:hAnsi="Times New Roman"/>
          <w:sz w:val="20"/>
          <w:szCs w:val="20"/>
          <w:rtl/>
        </w:rPr>
        <w:t xml:space="preserve"> (נבו 17.2.2019).</w:t>
      </w:r>
    </w:p>
  </w:footnote>
  <w:footnote w:id="8">
    <w:p>
      <w:pPr>
        <w:bidi/>
        <w:spacing w:after="40" w:line="240"/>
        <w:jc w:val="both"/>
      </w:pPr>
      <w:r>
        <w:rPr>
          <w:rStyle w:val="FootnoteReference"/>
        </w:rPr>
        <w:footnoteRef/>
      </w:r>
      <w:r>
        <w:rPr>
          <w:rFonts w:ascii="Times New Roman" w:cs="David" w:eastAsia="David" w:hAnsi="Times New Roman"/>
          <w:sz w:val="20"/>
          <w:szCs w:val="20"/>
          <w:rtl/>
        </w:rPr>
        <w:t xml:space="preserve"> בג"ץ 6824/07 </w:t>
      </w:r>
      <w:r>
        <w:rPr>
          <w:rFonts w:ascii="Times New Roman" w:cs="David" w:eastAsia="David" w:hAnsi="Times New Roman"/>
          <w:b/>
          <w:bCs/>
          <w:sz w:val="20"/>
          <w:szCs w:val="20"/>
          <w:rtl/>
        </w:rPr>
        <w:t xml:space="preserve">מנאע נ' רשות המסים</w:t>
      </w:r>
      <w:r>
        <w:rPr>
          <w:rFonts w:ascii="Times New Roman" w:cs="David" w:eastAsia="David" w:hAnsi="Times New Roman"/>
          <w:sz w:val="20"/>
          <w:szCs w:val="20"/>
          <w:rtl/>
        </w:rPr>
        <w:t xml:space="preserve">, פ"ד סד(2) 479, 525-524 (2010); בג"ץ 5887/17 </w:t>
      </w:r>
      <w:r>
        <w:rPr>
          <w:rFonts w:ascii="Times New Roman" w:cs="David" w:eastAsia="David" w:hAnsi="Times New Roman"/>
          <w:b/>
          <w:bCs/>
          <w:sz w:val="20"/>
          <w:szCs w:val="20"/>
          <w:rtl/>
        </w:rPr>
        <w:t xml:space="preserve">ג'בארין נ' משטרת ישראל</w:t>
      </w:r>
      <w:r>
        <w:rPr>
          <w:rFonts w:ascii="Times New Roman" w:cs="David" w:eastAsia="David" w:hAnsi="Times New Roman"/>
          <w:sz w:val="20"/>
          <w:szCs w:val="20"/>
          <w:rtl/>
        </w:rPr>
        <w:t xml:space="preserve"> (נבו 25.7.2017).</w:t>
      </w:r>
    </w:p>
  </w:footnote>
  <w:footnote w:id="9">
    <w:p>
      <w:pPr>
        <w:bidi/>
        <w:spacing w:after="40" w:line="240"/>
        <w:jc w:val="both"/>
      </w:pPr>
      <w:r>
        <w:rPr>
          <w:rStyle w:val="FootnoteReference"/>
        </w:rPr>
        <w:footnoteRef/>
      </w:r>
      <w:r>
        <w:rPr>
          <w:rFonts w:ascii="Times New Roman" w:cs="David" w:eastAsia="David" w:hAnsi="Times New Roman"/>
          <w:sz w:val="20"/>
          <w:szCs w:val="20"/>
          <w:rtl w:val="false"/>
        </w:rPr>
        <w:t xml:space="preserve"> Jason Sunshine &amp; Tom R. Tyler, </w:t>
      </w:r>
      <w:r>
        <w:rPr>
          <w:rFonts w:ascii="Times New Roman" w:cs="David" w:eastAsia="David" w:hAnsi="Times New Roman"/>
          <w:i/>
          <w:iCs/>
          <w:sz w:val="20"/>
          <w:szCs w:val="20"/>
          <w:rtl w:val="false"/>
        </w:rPr>
        <w:t xml:space="preserve">The Role of Procedural Justice and Legitimacy in Shaping Public Support for Policing</w:t>
      </w:r>
      <w:r>
        <w:rPr>
          <w:rFonts w:ascii="Times New Roman" w:cs="David" w:eastAsia="David" w:hAnsi="Times New Roman"/>
          <w:sz w:val="20"/>
          <w:szCs w:val="20"/>
          <w:rtl w:val="false"/>
        </w:rPr>
        <w:t xml:space="preserve">, 37 LAW &amp; SOC'Y REV. 513 (2003); Tom R. Tyler &amp; Jeffrey Fagan, </w:t>
      </w:r>
      <w:r>
        <w:rPr>
          <w:rFonts w:ascii="Times New Roman" w:cs="David" w:eastAsia="David" w:hAnsi="Times New Roman"/>
          <w:i/>
          <w:iCs/>
          <w:sz w:val="20"/>
          <w:szCs w:val="20"/>
          <w:rtl w:val="false"/>
        </w:rPr>
        <w:t xml:space="preserve">Legitimacy and Cooperation: Why Do People Help the Police Fight Crime in Their Communities?</w:t>
      </w:r>
      <w:r>
        <w:rPr>
          <w:rFonts w:ascii="Times New Roman" w:cs="David" w:eastAsia="David" w:hAnsi="Times New Roman"/>
          <w:sz w:val="20"/>
          <w:szCs w:val="20"/>
          <w:rtl/>
        </w:rPr>
        <w:t xml:space="preserve">, 6 </w:t>
      </w:r>
      <w:r>
        <w:rPr>
          <w:rFonts w:ascii="Times New Roman" w:cs="David" w:eastAsia="David" w:hAnsi="Times New Roman"/>
          <w:sz w:val="20"/>
          <w:szCs w:val="20"/>
          <w:rtl w:val="false"/>
        </w:rPr>
        <w:t xml:space="preserve">OHIO ST. J. CRIM. L. 231 (2008)</w:t>
      </w:r>
      <w:r>
        <w:rPr>
          <w:rFonts w:ascii="Times New Roman" w:cs="David" w:eastAsia="David" w:hAnsi="Times New Roman"/>
          <w:sz w:val="20"/>
          <w:szCs w:val="20"/>
          <w:rtl/>
        </w:rPr>
        <w:t xml:space="preserve">, כמובא אצל פורום המרצות והמרצים למשפטים למען הדמוקרטיה </w:t>
      </w:r>
      <w:r>
        <w:rPr>
          <w:rFonts w:ascii="Times New Roman" w:cs="David" w:eastAsia="David" w:hAnsi="Times New Roman"/>
          <w:b/>
          <w:bCs/>
          <w:sz w:val="20"/>
          <w:szCs w:val="20"/>
          <w:rtl/>
        </w:rPr>
        <w:t xml:space="preserve">שינויי המשטר בישראל 2023: אסופת ניירות עמדה</w:t>
      </w:r>
      <w:r>
        <w:rPr>
          <w:rFonts w:ascii="Times New Roman" w:cs="David" w:eastAsia="David" w:hAnsi="Times New Roman"/>
          <w:sz w:val="20"/>
          <w:szCs w:val="20"/>
          <w:rtl w:val="false"/>
        </w:rPr>
        <w:t xml:space="preserve"> 592 (2026).</w:t>
      </w:r>
    </w:p>
  </w:footnote>
  <w:footnote w:id="10">
    <w:p>
      <w:pPr>
        <w:bidi/>
        <w:spacing w:after="40" w:line="240"/>
        <w:jc w:val="both"/>
      </w:pPr>
      <w:r>
        <w:rPr>
          <w:rStyle w:val="FootnoteReference"/>
        </w:rPr>
        <w:footnoteRef/>
      </w:r>
      <w:r>
        <w:rPr>
          <w:rFonts w:ascii="Times New Roman" w:cs="David" w:eastAsia="David" w:hAnsi="Times New Roman"/>
          <w:sz w:val="20"/>
          <w:szCs w:val="20"/>
          <w:rtl/>
        </w:rPr>
        <w:t xml:space="preserve"> פורום המרצות והמרצים, לעיל ה"ש 9, בעמ' 592.</w:t>
      </w:r>
    </w:p>
  </w:footnote>
  <w:footnote w:id="11">
    <w:p>
      <w:pPr>
        <w:bidi/>
        <w:spacing w:after="40" w:line="240"/>
        <w:jc w:val="both"/>
      </w:pPr>
      <w:r>
        <w:rPr>
          <w:rStyle w:val="FootnoteReference"/>
        </w:rPr>
        <w:footnoteRef/>
      </w:r>
      <w:r>
        <w:rPr>
          <w:rFonts w:ascii="Times New Roman" w:cs="David" w:eastAsia="David" w:hAnsi="Times New Roman"/>
          <w:sz w:val="20"/>
          <w:szCs w:val="20"/>
          <w:rtl w:val="false"/>
        </w:rPr>
        <w:t xml:space="preserve"> Badi Hasisi &amp; Ronald Weitzer, </w:t>
      </w:r>
      <w:r>
        <w:rPr>
          <w:rFonts w:ascii="Times New Roman" w:cs="David" w:eastAsia="David" w:hAnsi="Times New Roman"/>
          <w:i/>
          <w:iCs/>
          <w:sz w:val="20"/>
          <w:szCs w:val="20"/>
          <w:rtl w:val="false"/>
        </w:rPr>
        <w:t xml:space="preserve">Police Relations with Arabs and Jews in Israel</w:t>
      </w:r>
      <w:r>
        <w:rPr>
          <w:rFonts w:ascii="Times New Roman" w:cs="David" w:eastAsia="David" w:hAnsi="Times New Roman"/>
          <w:sz w:val="20"/>
          <w:szCs w:val="20"/>
          <w:rtl/>
        </w:rPr>
        <w:t xml:space="preserve">, 47 </w:t>
      </w:r>
      <w:r>
        <w:rPr>
          <w:rFonts w:ascii="Times New Roman" w:cs="David" w:eastAsia="David" w:hAnsi="Times New Roman"/>
          <w:sz w:val="20"/>
          <w:szCs w:val="20"/>
          <w:rtl w:val="false"/>
        </w:rPr>
        <w:t xml:space="preserve">BRIT. J. CRIMINOLOGY 728 (2007)</w:t>
      </w:r>
      <w:r>
        <w:rPr>
          <w:rFonts w:ascii="Times New Roman" w:cs="David" w:eastAsia="David" w:hAnsi="Times New Roman"/>
          <w:sz w:val="20"/>
          <w:szCs w:val="20"/>
          <w:rtl/>
        </w:rPr>
        <w:t xml:space="preserve">, כמובא אצל פורום המרצות והמרצים, לעיל ה"ש 9, בעמ' 593.</w:t>
      </w:r>
    </w:p>
  </w:footnote>
  <w:footnote w:id="12">
    <w:p>
      <w:pPr>
        <w:bidi/>
        <w:spacing w:after="40" w:line="240"/>
        <w:jc w:val="both"/>
      </w:pPr>
      <w:r>
        <w:rPr>
          <w:rStyle w:val="FootnoteReference"/>
        </w:rPr>
        <w:footnoteRef/>
      </w:r>
      <w:r>
        <w:rPr>
          <w:rFonts w:ascii="Times New Roman" w:cs="David" w:eastAsia="David" w:hAnsi="Times New Roman"/>
          <w:sz w:val="20"/>
          <w:szCs w:val="20"/>
          <w:rtl/>
        </w:rPr>
        <w:t xml:space="preserve"> בג"ץ 7074/93 </w:t>
      </w:r>
      <w:r>
        <w:rPr>
          <w:rFonts w:ascii="Times New Roman" w:cs="David" w:eastAsia="David" w:hAnsi="Times New Roman"/>
          <w:b/>
          <w:bCs/>
          <w:sz w:val="20"/>
          <w:szCs w:val="20"/>
          <w:rtl/>
        </w:rPr>
        <w:t xml:space="preserve">סויסא נ' היועץ המשפטי לממשלה</w:t>
      </w:r>
      <w:r>
        <w:rPr>
          <w:rFonts w:ascii="Times New Roman" w:cs="David" w:eastAsia="David" w:hAnsi="Times New Roman"/>
          <w:sz w:val="20"/>
          <w:szCs w:val="20"/>
          <w:rtl/>
        </w:rPr>
        <w:t xml:space="preserve">, פ"ד מח(2) 749, 784 (1994).</w:t>
      </w:r>
    </w:p>
  </w:footnote>
  <w:footnote w:id="13">
    <w:p>
      <w:pPr>
        <w:bidi/>
        <w:spacing w:after="40" w:line="240"/>
        <w:jc w:val="both"/>
      </w:pPr>
      <w:r>
        <w:rPr>
          <w:rStyle w:val="FootnoteReference"/>
        </w:rPr>
        <w:footnoteRef/>
      </w:r>
      <w:r>
        <w:rPr>
          <w:rFonts w:ascii="Times New Roman" w:cs="David" w:eastAsia="David" w:hAnsi="Times New Roman"/>
          <w:sz w:val="20"/>
          <w:szCs w:val="20"/>
          <w:rtl/>
        </w:rPr>
        <w:t xml:space="preserve"> שם, בעמ' 785.</w:t>
      </w:r>
    </w:p>
  </w:footnote>
  <w:footnote w:id="14">
    <w:p>
      <w:pPr>
        <w:bidi/>
        <w:spacing w:after="40" w:line="240"/>
        <w:jc w:val="both"/>
      </w:pPr>
      <w:r>
        <w:rPr>
          <w:rStyle w:val="FootnoteReference"/>
        </w:rPr>
        <w:footnoteRef/>
      </w:r>
      <w:r>
        <w:rPr>
          <w:rFonts w:ascii="Times New Roman" w:cs="David" w:eastAsia="David" w:hAnsi="Times New Roman"/>
          <w:sz w:val="20"/>
          <w:szCs w:val="20"/>
          <w:rtl/>
        </w:rPr>
        <w:t xml:space="preserve"> ע"פ 9878/09 </w:t>
      </w:r>
      <w:r>
        <w:rPr>
          <w:rFonts w:ascii="Times New Roman" w:cs="David" w:eastAsia="David" w:hAnsi="Times New Roman"/>
          <w:b/>
          <w:bCs/>
          <w:sz w:val="20"/>
          <w:szCs w:val="20"/>
          <w:rtl/>
        </w:rPr>
        <w:t xml:space="preserve">מדינת ישראל נ' מוסא</w:t>
      </w:r>
      <w:r>
        <w:rPr>
          <w:rFonts w:ascii="Times New Roman" w:cs="David" w:eastAsia="David" w:hAnsi="Times New Roman"/>
          <w:sz w:val="20"/>
          <w:szCs w:val="20"/>
          <w:rtl/>
        </w:rPr>
        <w:t xml:space="preserve">, פס' 29 (נבו 20.9.2010).</w:t>
      </w:r>
    </w:p>
  </w:footnote>
  <w:footnote w:id="15">
    <w:p>
      <w:pPr>
        <w:bidi/>
        <w:spacing w:after="40" w:line="240"/>
        <w:jc w:val="both"/>
      </w:pPr>
      <w:r>
        <w:rPr>
          <w:rStyle w:val="FootnoteReference"/>
        </w:rPr>
        <w:footnoteRef/>
      </w:r>
      <w:r>
        <w:rPr>
          <w:rFonts w:ascii="Times New Roman" w:cs="David" w:eastAsia="David" w:hAnsi="Times New Roman"/>
          <w:sz w:val="20"/>
          <w:szCs w:val="20"/>
          <w:rtl/>
        </w:rPr>
        <w:t xml:space="preserve"> בג"ץ 8634/08 </w:t>
      </w:r>
      <w:r>
        <w:rPr>
          <w:rFonts w:ascii="Times New Roman" w:cs="David" w:eastAsia="David" w:hAnsi="Times New Roman"/>
          <w:b/>
          <w:bCs/>
          <w:sz w:val="20"/>
          <w:szCs w:val="20"/>
          <w:rtl/>
        </w:rPr>
        <w:t xml:space="preserve">אלחננוב נ' משטרת ישראל – אגף משאבי אנוש</w:t>
      </w:r>
      <w:r>
        <w:rPr>
          <w:rFonts w:ascii="Times New Roman" w:cs="David" w:eastAsia="David" w:hAnsi="Times New Roman"/>
          <w:sz w:val="20"/>
          <w:szCs w:val="20"/>
          <w:rtl/>
        </w:rPr>
        <w:t xml:space="preserve">, פס' 43 (נבו 16.11.2010).</w:t>
      </w:r>
    </w:p>
  </w:footnote>
  <w:footnote w:id="16">
    <w:p>
      <w:pPr>
        <w:bidi/>
        <w:spacing w:after="40" w:line="240"/>
        <w:jc w:val="both"/>
      </w:pPr>
      <w:r>
        <w:rPr>
          <w:rStyle w:val="FootnoteReference"/>
        </w:rPr>
        <w:footnoteRef/>
      </w:r>
      <w:r>
        <w:rPr>
          <w:rFonts w:ascii="Times New Roman" w:cs="David" w:eastAsia="David" w:hAnsi="Times New Roman"/>
          <w:sz w:val="20"/>
          <w:szCs w:val="20"/>
          <w:rtl/>
        </w:rPr>
        <w:t xml:space="preserve"> פורום המרצות והמרצים, לעיל ה"ש 9, בעמ' 591-590.</w:t>
      </w:r>
    </w:p>
  </w:footnote>
  <w:footnote w:id="17">
    <w:p>
      <w:pPr>
        <w:bidi/>
        <w:spacing w:after="40" w:line="240"/>
        <w:jc w:val="both"/>
      </w:pPr>
      <w:r>
        <w:rPr>
          <w:rStyle w:val="FootnoteReference"/>
        </w:rPr>
        <w:footnoteRef/>
      </w:r>
      <w:r>
        <w:rPr>
          <w:rFonts w:ascii="Times New Roman" w:cs="David" w:eastAsia="David" w:hAnsi="Times New Roman"/>
          <w:sz w:val="20"/>
          <w:szCs w:val="20"/>
          <w:rtl/>
        </w:rPr>
        <w:t xml:space="preserve"> אסף הרדוף "ויתור, הידברות, בג"ץ: שחרור חסמים בסדר הדין הפלילי, צמצום הכוח המנהלי והגברת הביקורת השיפוטית" </w:t>
      </w:r>
      <w:r>
        <w:rPr>
          <w:rFonts w:ascii="Times New Roman" w:cs="David" w:eastAsia="David" w:hAnsi="Times New Roman"/>
          <w:b/>
          <w:bCs/>
          <w:sz w:val="20"/>
          <w:szCs w:val="20"/>
          <w:rtl/>
        </w:rPr>
        <w:t xml:space="preserve">ספר אליקים רובינשטיין</w:t>
      </w:r>
      <w:r>
        <w:rPr>
          <w:rFonts w:ascii="Times New Roman" w:cs="David" w:eastAsia="David" w:hAnsi="Times New Roman"/>
          <w:sz w:val="20"/>
          <w:szCs w:val="20"/>
          <w:rtl/>
        </w:rPr>
        <w:t xml:space="preserve"> 1817, 1843 (מרים ביטון עורכת, 2020).</w:t>
      </w:r>
    </w:p>
  </w:footnote>
  <w:footnote w:id="18">
    <w:p>
      <w:pPr>
        <w:bidi/>
        <w:spacing w:after="40" w:line="240"/>
        <w:jc w:val="both"/>
      </w:pPr>
      <w:r>
        <w:rPr>
          <w:rStyle w:val="FootnoteReference"/>
        </w:rPr>
        <w:footnoteRef/>
      </w:r>
      <w:r>
        <w:rPr>
          <w:rFonts w:ascii="Times New Roman" w:cs="David" w:eastAsia="David" w:hAnsi="Times New Roman"/>
          <w:sz w:val="20"/>
          <w:szCs w:val="20"/>
          <w:rtl/>
        </w:rPr>
        <w:t xml:space="preserve"> שם, בעמ' 1844.</w:t>
      </w:r>
    </w:p>
  </w:footnote>
  <w:footnote w:id="19">
    <w:p>
      <w:pPr>
        <w:bidi/>
        <w:spacing w:after="40" w:line="240"/>
        <w:jc w:val="both"/>
      </w:pPr>
      <w:r>
        <w:rPr>
          <w:rStyle w:val="FootnoteReference"/>
        </w:rPr>
        <w:footnoteRef/>
      </w:r>
      <w:r>
        <w:rPr>
          <w:rFonts w:ascii="Times New Roman" w:cs="David" w:eastAsia="David" w:hAnsi="Times New Roman"/>
          <w:sz w:val="20"/>
          <w:szCs w:val="20"/>
          <w:rtl/>
        </w:rPr>
        <w:t xml:space="preserve"> בג"ץ 2605/05 </w:t>
      </w:r>
      <w:r>
        <w:rPr>
          <w:rFonts w:ascii="Times New Roman" w:cs="David" w:eastAsia="David" w:hAnsi="Times New Roman"/>
          <w:b/>
          <w:bCs/>
          <w:sz w:val="20"/>
          <w:szCs w:val="20"/>
          <w:rtl/>
        </w:rPr>
        <w:t xml:space="preserve">המרכז האקדמי למשפט ולעסקים, חטיבת זכויות האדם נ' שר האוצר</w:t>
      </w:r>
      <w:r>
        <w:rPr>
          <w:rFonts w:ascii="Times New Roman" w:cs="David" w:eastAsia="David" w:hAnsi="Times New Roman"/>
          <w:sz w:val="20"/>
          <w:szCs w:val="20"/>
          <w:rtl/>
        </w:rPr>
        <w:t xml:space="preserve">, פ"ד סג(2) 545, 630-629, פס' 9-10 לפסק דינה של השופטת פרוקצ'יה (2009).</w:t>
      </w:r>
    </w:p>
  </w:footnote>
  <w:footnote w:id="20">
    <w:p>
      <w:pPr>
        <w:bidi/>
        <w:spacing w:after="40" w:line="240"/>
        <w:jc w:val="both"/>
      </w:pPr>
      <w:r>
        <w:rPr>
          <w:rStyle w:val="FootnoteReference"/>
        </w:rPr>
        <w:footnoteRef/>
      </w:r>
      <w:r>
        <w:rPr>
          <w:rFonts w:ascii="Times New Roman" w:cs="David" w:eastAsia="David" w:hAnsi="Times New Roman"/>
          <w:sz w:val="20"/>
          <w:szCs w:val="20"/>
          <w:rtl/>
        </w:rPr>
        <w:t xml:space="preserve"> שי דרומי "מה המחיר של החופש להפגין? ההגנה על זכות ההפגנה בדיני הנזיקין" </w:t>
      </w:r>
      <w:r>
        <w:rPr>
          <w:rFonts w:ascii="Times New Roman" w:cs="David" w:eastAsia="David" w:hAnsi="Times New Roman"/>
          <w:b/>
          <w:bCs/>
          <w:sz w:val="20"/>
          <w:szCs w:val="20"/>
          <w:rtl/>
        </w:rPr>
        <w:t xml:space="preserve">משפטים על אתר</w:t>
      </w:r>
      <w:r>
        <w:rPr>
          <w:rFonts w:ascii="Times New Roman" w:cs="David" w:eastAsia="David" w:hAnsi="Times New Roman"/>
          <w:sz w:val="20"/>
          <w:szCs w:val="20"/>
          <w:rtl/>
        </w:rPr>
        <w:t xml:space="preserve"> כ 207, 221-220 (2025).</w:t>
      </w:r>
    </w:p>
  </w:footnote>
  <w:footnote w:id="21">
    <w:p>
      <w:pPr>
        <w:bidi/>
        <w:spacing w:after="40" w:line="240"/>
        <w:jc w:val="both"/>
      </w:pPr>
      <w:r>
        <w:rPr>
          <w:rStyle w:val="FootnoteReference"/>
        </w:rPr>
        <w:footnoteRef/>
      </w:r>
      <w:r>
        <w:rPr>
          <w:rFonts w:ascii="Times New Roman" w:cs="David" w:eastAsia="David" w:hAnsi="Times New Roman"/>
          <w:sz w:val="20"/>
          <w:szCs w:val="20"/>
          <w:rtl/>
        </w:rPr>
        <w:t xml:space="preserve"> בג"ץ 4455/19 </w:t>
      </w:r>
      <w:r>
        <w:rPr>
          <w:rFonts w:ascii="Times New Roman" w:cs="David" w:eastAsia="David" w:hAnsi="Times New Roman"/>
          <w:b/>
          <w:bCs/>
          <w:sz w:val="20"/>
          <w:szCs w:val="20"/>
          <w:rtl/>
        </w:rPr>
        <w:t xml:space="preserve">עמותת טבקה – צדק ושוויון ליוצאי אתיופיה נ' משטרת ישראל</w:t>
      </w:r>
      <w:r>
        <w:rPr>
          <w:rFonts w:ascii="Times New Roman" w:cs="David" w:eastAsia="David" w:hAnsi="Times New Roman"/>
          <w:sz w:val="20"/>
          <w:szCs w:val="20"/>
          <w:rtl/>
        </w:rPr>
        <w:t xml:space="preserve">, פס' 40 לפסק דינה של הנשיאה חיות (נבו 25.1.2021).</w:t>
      </w:r>
    </w:p>
  </w:footnote>
  <w:footnote w:id="22">
    <w:p>
      <w:pPr>
        <w:bidi/>
        <w:spacing w:after="40" w:line="240"/>
        <w:jc w:val="both"/>
      </w:pPr>
      <w:r>
        <w:rPr>
          <w:rStyle w:val="FootnoteReference"/>
        </w:rPr>
        <w:footnoteRef/>
      </w:r>
      <w:r>
        <w:rPr>
          <w:rFonts w:ascii="Times New Roman" w:cs="David" w:eastAsia="David" w:hAnsi="Times New Roman"/>
          <w:sz w:val="20"/>
          <w:szCs w:val="20"/>
          <w:rtl/>
        </w:rPr>
        <w:t xml:space="preserve"> נעמי לבנקרון "'אהיה אני המרטין לותר קינג של המשטרה': איסור ההתארגנות על השוטרים בישראל והשפעתו על זכויותיהם כעובדים" </w:t>
      </w:r>
      <w:r>
        <w:rPr>
          <w:rFonts w:ascii="Times New Roman" w:cs="David" w:eastAsia="David" w:hAnsi="Times New Roman"/>
          <w:b/>
          <w:bCs/>
          <w:sz w:val="20"/>
          <w:szCs w:val="20"/>
          <w:rtl/>
        </w:rPr>
        <w:t xml:space="preserve">עבודה, חברה ומשפט</w:t>
      </w:r>
      <w:r>
        <w:rPr>
          <w:rFonts w:ascii="Times New Roman" w:cs="David" w:eastAsia="David" w:hAnsi="Times New Roman"/>
          <w:sz w:val="20"/>
          <w:szCs w:val="20"/>
          <w:rtl/>
        </w:rPr>
        <w:t xml:space="preserve"> טז 27, 32 (2020).</w:t>
      </w:r>
    </w:p>
  </w:footnote>
  <w:footnote w:id="23">
    <w:p>
      <w:pPr>
        <w:bidi/>
        <w:spacing w:after="40" w:line="240"/>
        <w:jc w:val="both"/>
      </w:pPr>
      <w:r>
        <w:rPr>
          <w:rStyle w:val="FootnoteReference"/>
        </w:rPr>
        <w:footnoteRef/>
      </w:r>
      <w:r>
        <w:rPr>
          <w:rFonts w:ascii="Times New Roman" w:cs="David" w:eastAsia="David" w:hAnsi="Times New Roman"/>
          <w:sz w:val="20"/>
          <w:szCs w:val="20"/>
          <w:rtl w:val="false"/>
        </w:rPr>
        <w:t xml:space="preserve"> Stephen Halpern, </w:t>
      </w:r>
      <w:r>
        <w:rPr>
          <w:rFonts w:ascii="Times New Roman" w:cs="David" w:eastAsia="David" w:hAnsi="Times New Roman"/>
          <w:i/>
          <w:iCs/>
          <w:sz w:val="20"/>
          <w:szCs w:val="20"/>
          <w:rtl w:val="false"/>
        </w:rPr>
        <w:t xml:space="preserve">Police Employee Organizations and Accountability Procedures in Three Cities: Some Reflections on Police Policy-Making</w:t>
      </w:r>
      <w:r>
        <w:rPr>
          <w:rFonts w:ascii="Times New Roman" w:cs="David" w:eastAsia="David" w:hAnsi="Times New Roman"/>
          <w:sz w:val="20"/>
          <w:szCs w:val="20"/>
          <w:rtl/>
        </w:rPr>
        <w:t xml:space="preserve">, 8 </w:t>
      </w:r>
      <w:r>
        <w:rPr>
          <w:rFonts w:ascii="Times New Roman" w:cs="David" w:eastAsia="David" w:hAnsi="Times New Roman"/>
          <w:sz w:val="20"/>
          <w:szCs w:val="20"/>
          <w:rtl w:val="false"/>
        </w:rPr>
        <w:t xml:space="preserve">LAW &amp; SOC'Y REV. 561 (1974)</w:t>
      </w:r>
      <w:r>
        <w:rPr>
          <w:rFonts w:ascii="Times New Roman" w:cs="David" w:eastAsia="David" w:hAnsi="Times New Roman"/>
          <w:sz w:val="20"/>
          <w:szCs w:val="20"/>
          <w:rtl/>
        </w:rPr>
        <w:t xml:space="preserve">, כמובא אצל לבנקרון, לעיל ה"ש 22, בעמ' 35.</w:t>
      </w:r>
    </w:p>
  </w:footnote>
  <w:footnote w:id="24">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25">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Miranda v. Arizona</w:t>
      </w:r>
      <w:r>
        <w:rPr>
          <w:rFonts w:ascii="Times New Roman" w:cs="David" w:eastAsia="David" w:hAnsi="Times New Roman"/>
          <w:sz w:val="20"/>
          <w:szCs w:val="20"/>
          <w:rtl/>
        </w:rPr>
        <w:t xml:space="preserve">, 384 </w:t>
      </w:r>
      <w:r>
        <w:rPr>
          <w:rFonts w:ascii="Times New Roman" w:cs="David" w:eastAsia="David" w:hAnsi="Times New Roman"/>
          <w:sz w:val="20"/>
          <w:szCs w:val="20"/>
          <w:rtl w:val="false"/>
        </w:rPr>
        <w:t xml:space="preserve">U.S. 436 (1966)</w:t>
      </w:r>
      <w:r>
        <w:rPr>
          <w:rFonts w:ascii="Times New Roman" w:cs="David" w:eastAsia="David" w:hAnsi="Times New Roman"/>
          <w:sz w:val="20"/>
          <w:szCs w:val="20"/>
          <w:rtl/>
        </w:rPr>
        <w:t xml:space="preserve">; רינת קיטאי סנג'רו </w:t>
      </w:r>
      <w:r>
        <w:rPr>
          <w:rFonts w:ascii="Times New Roman" w:cs="David" w:eastAsia="David" w:hAnsi="Times New Roman"/>
          <w:b/>
          <w:bCs/>
          <w:sz w:val="20"/>
          <w:szCs w:val="20"/>
          <w:rtl/>
        </w:rPr>
        <w:t xml:space="preserve">הזכות לאי-הפללה עצמית</w:t>
      </w:r>
      <w:r>
        <w:rPr>
          <w:rFonts w:ascii="Times New Roman" w:cs="David" w:eastAsia="David" w:hAnsi="Times New Roman"/>
          <w:sz w:val="20"/>
          <w:szCs w:val="20"/>
          <w:rtl w:val="false"/>
        </w:rPr>
        <w:t xml:space="preserve"> 272 (2026).</w:t>
      </w:r>
    </w:p>
  </w:footnote>
  <w:footnote w:id="26">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Police and Criminal Evidence Act 1984</w:t>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c. 60, s. 76 (UK)</w:t>
      </w:r>
      <w:r>
        <w:rPr>
          <w:rFonts w:ascii="Times New Roman" w:cs="David" w:eastAsia="David" w:hAnsi="Times New Roman"/>
          <w:sz w:val="20"/>
          <w:szCs w:val="20"/>
          <w:rtl/>
        </w:rPr>
        <w:t xml:space="preserve">; קיטאי סנג'רו, לעיל ה"ש 25, בעמ' 272.</w:t>
      </w:r>
    </w:p>
  </w:footnote>
  <w:footnote w:id="27">
    <w:p>
      <w:pPr>
        <w:bidi/>
        <w:spacing w:after="40" w:line="240"/>
        <w:jc w:val="both"/>
      </w:pPr>
      <w:r>
        <w:rPr>
          <w:rStyle w:val="FootnoteReference"/>
        </w:rPr>
        <w:footnoteRef/>
      </w:r>
      <w:r>
        <w:rPr>
          <w:rFonts w:ascii="Times New Roman" w:cs="David" w:eastAsia="David" w:hAnsi="Times New Roman"/>
          <w:sz w:val="20"/>
          <w:szCs w:val="20"/>
          <w:rtl/>
        </w:rPr>
        <w:t xml:space="preserve"> קיטאי סנג'רו, לעיל ה"ש 25, בעמ' 273-272.</w:t>
      </w:r>
    </w:p>
  </w:footnote>
  <w:footnote w:id="28">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21, פס' 37 לפסק דינה של הנשיאה חיות; </w:t>
      </w:r>
      <w:r>
        <w:rPr>
          <w:rFonts w:ascii="Times New Roman" w:cs="David" w:eastAsia="David" w:hAnsi="Times New Roman"/>
          <w:i/>
          <w:iCs/>
          <w:sz w:val="20"/>
          <w:szCs w:val="20"/>
          <w:rtl w:val="false"/>
        </w:rPr>
        <w:t xml:space="preserve">Brown v. Texas</w:t>
      </w:r>
      <w:r>
        <w:rPr>
          <w:rFonts w:ascii="Times New Roman" w:cs="David" w:eastAsia="David" w:hAnsi="Times New Roman"/>
          <w:sz w:val="20"/>
          <w:szCs w:val="20"/>
          <w:rtl w:val="false"/>
        </w:rPr>
        <w:t xml:space="preserve">, 443 U.S. 47 (1979); </w:t>
      </w:r>
      <w:r>
        <w:rPr>
          <w:rFonts w:ascii="Times New Roman" w:cs="David" w:eastAsia="David" w:hAnsi="Times New Roman"/>
          <w:i/>
          <w:iCs/>
          <w:sz w:val="20"/>
          <w:szCs w:val="20"/>
          <w:rtl w:val="false"/>
        </w:rPr>
        <w:t xml:space="preserve">United States v. Mendenhall</w:t>
      </w:r>
      <w:r>
        <w:rPr>
          <w:rFonts w:ascii="Times New Roman" w:cs="David" w:eastAsia="David" w:hAnsi="Times New Roman"/>
          <w:sz w:val="20"/>
          <w:szCs w:val="20"/>
          <w:rtl w:val="false"/>
        </w:rPr>
        <w:t xml:space="preserve">, 446 U.S. 544, 554 (1980).</w:t>
      </w:r>
    </w:p>
  </w:footnote>
  <w:footnote w:id="29">
    <w:p>
      <w:pPr>
        <w:bidi/>
        <w:spacing w:after="40" w:line="240"/>
        <w:jc w:val="both"/>
      </w:pPr>
      <w:r>
        <w:rPr>
          <w:rStyle w:val="FootnoteReference"/>
        </w:rPr>
        <w:footnoteRef/>
      </w:r>
      <w:r>
        <w:rPr>
          <w:rFonts w:ascii="Times New Roman" w:cs="David" w:eastAsia="David" w:hAnsi="Times New Roman"/>
          <w:sz w:val="20"/>
          <w:szCs w:val="20"/>
          <w:rtl/>
        </w:rPr>
        <w:t xml:space="preserve"> בעז סגל "נזיקין של רשויות במבט השוואתי: הפיצוי הנזיקי – מטרה או אמצעי?" </w:t>
      </w:r>
      <w:r>
        <w:rPr>
          <w:rFonts w:ascii="Times New Roman" w:cs="David" w:eastAsia="David" w:hAnsi="Times New Roman"/>
          <w:b/>
          <w:bCs/>
          <w:sz w:val="20"/>
          <w:szCs w:val="20"/>
          <w:rtl/>
        </w:rPr>
        <w:t xml:space="preserve">הפרקליט</w:t>
      </w:r>
      <w:r>
        <w:rPr>
          <w:rFonts w:ascii="Times New Roman" w:cs="David" w:eastAsia="David" w:hAnsi="Times New Roman"/>
          <w:sz w:val="20"/>
          <w:szCs w:val="20"/>
          <w:rtl/>
        </w:rPr>
        <w:t xml:space="preserve"> נו 111, 131 (התשפ"ד).</w:t>
      </w:r>
    </w:p>
  </w:footnote>
  <w:footnote w:id="30">
    <w:p>
      <w:pPr>
        <w:bidi/>
        <w:spacing w:after="40" w:line="240"/>
        <w:jc w:val="both"/>
      </w:pPr>
      <w:r>
        <w:rPr>
          <w:rStyle w:val="FootnoteReference"/>
        </w:rPr>
        <w:footnoteRef/>
      </w:r>
      <w:r>
        <w:rPr>
          <w:rFonts w:ascii="Times New Roman" w:cs="David" w:eastAsia="David" w:hAnsi="Times New Roman"/>
          <w:sz w:val="20"/>
          <w:szCs w:val="20"/>
          <w:rtl/>
        </w:rPr>
        <w:t xml:space="preserve"> שם, בעמ' 129-128.</w:t>
      </w:r>
    </w:p>
  </w:footnote>
  <w:footnote w:id="31">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Hill v. Chief Constable of West Yorkshire</w:t>
      </w:r>
      <w:r>
        <w:rPr>
          <w:rFonts w:ascii="Times New Roman" w:cs="David" w:eastAsia="David" w:hAnsi="Times New Roman"/>
          <w:sz w:val="20"/>
          <w:szCs w:val="20"/>
          <w:rtl/>
        </w:rPr>
        <w:t xml:space="preserve"> [1989] </w:t>
      </w:r>
      <w:r>
        <w:rPr>
          <w:rFonts w:ascii="Times New Roman" w:cs="David" w:eastAsia="David" w:hAnsi="Times New Roman"/>
          <w:sz w:val="20"/>
          <w:szCs w:val="20"/>
          <w:rtl w:val="false"/>
        </w:rPr>
        <w:t xml:space="preserve">AC 53 (HL)</w:t>
      </w:r>
      <w:r>
        <w:rPr>
          <w:rFonts w:ascii="Times New Roman" w:cs="David" w:eastAsia="David" w:hAnsi="Times New Roman"/>
          <w:sz w:val="20"/>
          <w:szCs w:val="20"/>
          <w:rtl/>
        </w:rPr>
        <w:t xml:space="preserve">; סגל, לעיל ה"ש 29, בעמ' 132.</w:t>
      </w:r>
    </w:p>
  </w:footnote>
  <w:footnote w:id="32">
    <w:p>
      <w:pPr>
        <w:bidi/>
        <w:spacing w:after="40" w:line="240"/>
        <w:jc w:val="both"/>
      </w:pPr>
      <w:r>
        <w:rPr>
          <w:rStyle w:val="FootnoteReference"/>
        </w:rPr>
        <w:footnoteRef/>
      </w:r>
      <w:r>
        <w:rPr>
          <w:rFonts w:ascii="Times New Roman" w:cs="David" w:eastAsia="David" w:hAnsi="Times New Roman"/>
          <w:sz w:val="20"/>
          <w:szCs w:val="20"/>
          <w:rtl/>
        </w:rPr>
        <w:t xml:space="preserve"> ישראל גלעד </w:t>
      </w:r>
      <w:r>
        <w:rPr>
          <w:rFonts w:ascii="Times New Roman" w:cs="David" w:eastAsia="David" w:hAnsi="Times New Roman"/>
          <w:b/>
          <w:bCs/>
          <w:sz w:val="20"/>
          <w:szCs w:val="20"/>
          <w:rtl/>
        </w:rPr>
        <w:t xml:space="preserve">דיני נזיקין: גבולות האחריות</w:t>
      </w:r>
      <w:r>
        <w:rPr>
          <w:rFonts w:ascii="Times New Roman" w:cs="David" w:eastAsia="David" w:hAnsi="Times New Roman"/>
          <w:sz w:val="20"/>
          <w:szCs w:val="20"/>
          <w:rtl/>
        </w:rPr>
        <w:t xml:space="preserve"> כרך ב 1089-1086 (2012).</w:t>
      </w:r>
    </w:p>
  </w:footnote>
  <w:footnote w:id="33">
    <w:p>
      <w:pPr>
        <w:bidi/>
        <w:spacing w:after="40" w:line="240"/>
        <w:jc w:val="both"/>
      </w:pPr>
      <w:r>
        <w:rPr>
          <w:rStyle w:val="FootnoteReference"/>
        </w:rPr>
        <w:footnoteRef/>
      </w:r>
      <w:r>
        <w:rPr>
          <w:rFonts w:ascii="Times New Roman" w:cs="David" w:eastAsia="David" w:hAnsi="Times New Roman"/>
          <w:sz w:val="20"/>
          <w:szCs w:val="20"/>
          <w:rtl/>
        </w:rPr>
        <w:t xml:space="preserve"> שם, בעמ' 1091-1090.</w:t>
      </w:r>
    </w:p>
  </w:footnote>
  <w:footnote w:id="34">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Rigby v. Chief Constable of Northamptonshire</w:t>
      </w:r>
      <w:r>
        <w:rPr>
          <w:rFonts w:ascii="Times New Roman" w:cs="David" w:eastAsia="David" w:hAnsi="Times New Roman"/>
          <w:sz w:val="20"/>
          <w:szCs w:val="20"/>
          <w:rtl/>
        </w:rPr>
        <w:t xml:space="preserve"> [1985] 1 </w:t>
      </w:r>
      <w:r>
        <w:rPr>
          <w:rFonts w:ascii="Times New Roman" w:cs="David" w:eastAsia="David" w:hAnsi="Times New Roman"/>
          <w:sz w:val="20"/>
          <w:szCs w:val="20"/>
          <w:rtl w:val="false"/>
        </w:rPr>
        <w:t xml:space="preserve">WLR 1242 (QB)</w:t>
      </w:r>
      <w:r>
        <w:rPr>
          <w:rFonts w:ascii="Times New Roman" w:cs="David" w:eastAsia="David" w:hAnsi="Times New Roman"/>
          <w:sz w:val="20"/>
          <w:szCs w:val="20"/>
          <w:rtl/>
        </w:rPr>
        <w:t xml:space="preserve">; גלעד, לעיל ה"ש 32, בעמ' 1085.</w:t>
      </w:r>
    </w:p>
  </w:footnote>
  <w:footnote w:id="35">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Kirkham v. Chief Constable of the Greater Manchester Police</w:t>
      </w:r>
      <w:r>
        <w:rPr>
          <w:rFonts w:ascii="Times New Roman" w:cs="David" w:eastAsia="David" w:hAnsi="Times New Roman"/>
          <w:sz w:val="20"/>
          <w:szCs w:val="20"/>
          <w:rtl/>
        </w:rPr>
        <w:t xml:space="preserve"> [1990] 2 </w:t>
      </w:r>
      <w:r>
        <w:rPr>
          <w:rFonts w:ascii="Times New Roman" w:cs="David" w:eastAsia="David" w:hAnsi="Times New Roman"/>
          <w:sz w:val="20"/>
          <w:szCs w:val="20"/>
          <w:rtl w:val="false"/>
        </w:rPr>
        <w:t xml:space="preserve">WLR 987 (CA)</w:t>
      </w:r>
      <w:r>
        <w:rPr>
          <w:rFonts w:ascii="Times New Roman" w:cs="David" w:eastAsia="David" w:hAnsi="Times New Roman"/>
          <w:sz w:val="20"/>
          <w:szCs w:val="20"/>
          <w:rtl/>
        </w:rPr>
        <w:t xml:space="preserve">; סגל, לעיל ה"ש 29, בעמ' 181.</w:t>
      </w:r>
    </w:p>
  </w:footnote>
  <w:footnote w:id="36">
    <w:p>
      <w:pPr>
        <w:bidi/>
        <w:spacing w:after="40" w:line="240"/>
        <w:jc w:val="both"/>
      </w:pPr>
      <w:r>
        <w:rPr>
          <w:rStyle w:val="FootnoteReference"/>
        </w:rPr>
        <w:footnoteRef/>
      </w:r>
      <w:r>
        <w:rPr>
          <w:rFonts w:ascii="Times New Roman" w:cs="David" w:eastAsia="David" w:hAnsi="Times New Roman"/>
          <w:sz w:val="20"/>
          <w:szCs w:val="20"/>
          <w:rtl/>
        </w:rPr>
        <w:t xml:space="preserve"> סגל, לעיל ה"ש 29, בעמ' 155.</w:t>
      </w:r>
    </w:p>
  </w:footnote>
  <w:footnote w:id="37">
    <w:p>
      <w:pPr>
        <w:bidi/>
        <w:spacing w:after="40" w:line="240"/>
        <w:jc w:val="both"/>
      </w:pPr>
      <w:r>
        <w:rPr>
          <w:rStyle w:val="FootnoteReference"/>
        </w:rPr>
        <w:footnoteRef/>
      </w:r>
      <w:r>
        <w:rPr>
          <w:rFonts w:ascii="Times New Roman" w:cs="David" w:eastAsia="David" w:hAnsi="Times New Roman"/>
          <w:sz w:val="20"/>
          <w:szCs w:val="20"/>
          <w:rtl/>
        </w:rPr>
        <w:t xml:space="preserve"> גלעד, לעיל ה"ש 32, בעמ' 1069.</w:t>
      </w:r>
    </w:p>
  </w:footnote>
  <w:footnote w:id="38">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White v. Beasley</w:t>
      </w:r>
      <w:r>
        <w:rPr>
          <w:rFonts w:ascii="Times New Roman" w:cs="David" w:eastAsia="David" w:hAnsi="Times New Roman"/>
          <w:sz w:val="20"/>
          <w:szCs w:val="20"/>
          <w:rtl/>
        </w:rPr>
        <w:t xml:space="preserve">, 453 </w:t>
      </w:r>
      <w:r>
        <w:rPr>
          <w:rFonts w:ascii="Times New Roman" w:cs="David" w:eastAsia="David" w:hAnsi="Times New Roman"/>
          <w:sz w:val="20"/>
          <w:szCs w:val="20"/>
          <w:rtl w:val="false"/>
        </w:rPr>
        <w:t xml:space="preserve">Mich. 308 (1996)</w:t>
      </w:r>
      <w:r>
        <w:rPr>
          <w:rFonts w:ascii="Times New Roman" w:cs="David" w:eastAsia="David" w:hAnsi="Times New Roman"/>
          <w:sz w:val="20"/>
          <w:szCs w:val="20"/>
          <w:rtl/>
        </w:rPr>
        <w:t xml:space="preserve">; סגל, לעיל ה"ש 29, בעמ' 163.</w:t>
      </w:r>
    </w:p>
  </w:footnote>
  <w:footnote w:id="39">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Cuffy v. City of New York</w:t>
      </w:r>
      <w:r>
        <w:rPr>
          <w:rFonts w:ascii="Times New Roman" w:cs="David" w:eastAsia="David" w:hAnsi="Times New Roman"/>
          <w:sz w:val="20"/>
          <w:szCs w:val="20"/>
          <w:rtl/>
        </w:rPr>
        <w:t xml:space="preserve">, 69 </w:t>
      </w:r>
      <w:r>
        <w:rPr>
          <w:rFonts w:ascii="Times New Roman" w:cs="David" w:eastAsia="David" w:hAnsi="Times New Roman"/>
          <w:sz w:val="20"/>
          <w:szCs w:val="20"/>
          <w:rtl w:val="false"/>
        </w:rPr>
        <w:t xml:space="preserve">N.Y.2d 255 (1987)</w:t>
      </w:r>
      <w:r>
        <w:rPr>
          <w:rFonts w:ascii="Times New Roman" w:cs="David" w:eastAsia="David" w:hAnsi="Times New Roman"/>
          <w:sz w:val="20"/>
          <w:szCs w:val="20"/>
          <w:rtl/>
        </w:rPr>
        <w:t xml:space="preserve">; סגל, לעיל ה"ש 29, בעמ' 163-162.</w:t>
      </w:r>
    </w:p>
  </w:footnote>
  <w:footnote w:id="40">
    <w:p>
      <w:pPr>
        <w:bidi/>
        <w:spacing w:after="40" w:line="240"/>
        <w:jc w:val="both"/>
      </w:pPr>
      <w:r>
        <w:rPr>
          <w:rStyle w:val="FootnoteReference"/>
        </w:rPr>
        <w:footnoteRef/>
      </w:r>
      <w:r>
        <w:rPr>
          <w:rFonts w:ascii="Times New Roman" w:cs="David" w:eastAsia="David" w:hAnsi="Times New Roman"/>
          <w:sz w:val="20"/>
          <w:szCs w:val="20"/>
          <w:rtl w:val="false"/>
        </w:rPr>
        <w:t xml:space="preserve"> </w:t>
      </w:r>
      <w:r>
        <w:rPr>
          <w:rFonts w:ascii="Times New Roman" w:cs="David" w:eastAsia="David" w:hAnsi="Times New Roman"/>
          <w:i/>
          <w:iCs/>
          <w:sz w:val="20"/>
          <w:szCs w:val="20"/>
          <w:rtl w:val="false"/>
        </w:rPr>
        <w:t xml:space="preserve">Town of Castle Rock v. Gonzales</w:t>
      </w:r>
      <w:r>
        <w:rPr>
          <w:rFonts w:ascii="Times New Roman" w:cs="David" w:eastAsia="David" w:hAnsi="Times New Roman"/>
          <w:sz w:val="20"/>
          <w:szCs w:val="20"/>
          <w:rtl/>
        </w:rPr>
        <w:t xml:space="preserve">, 545 </w:t>
      </w:r>
      <w:r>
        <w:rPr>
          <w:rFonts w:ascii="Times New Roman" w:cs="David" w:eastAsia="David" w:hAnsi="Times New Roman"/>
          <w:sz w:val="20"/>
          <w:szCs w:val="20"/>
          <w:rtl w:val="false"/>
        </w:rPr>
        <w:t xml:space="preserve">U.S. 748 (2005)</w:t>
      </w:r>
      <w:r>
        <w:rPr>
          <w:rFonts w:ascii="Times New Roman" w:cs="David" w:eastAsia="David" w:hAnsi="Times New Roman"/>
          <w:sz w:val="20"/>
          <w:szCs w:val="20"/>
          <w:rtl/>
        </w:rPr>
        <w:t xml:space="preserve">; סגל, לעיל ה"ש 29, בעמ' 165.</w:t>
      </w:r>
    </w:p>
  </w:footnote>
  <w:footnote w:id="41">
    <w:p>
      <w:pPr>
        <w:bidi/>
        <w:spacing w:after="40" w:line="240"/>
        <w:jc w:val="both"/>
      </w:pPr>
      <w:r>
        <w:rPr>
          <w:rStyle w:val="FootnoteReference"/>
        </w:rPr>
        <w:footnoteRef/>
      </w:r>
      <w:r>
        <w:rPr>
          <w:rFonts w:ascii="Times New Roman" w:cs="David" w:eastAsia="David" w:hAnsi="Times New Roman"/>
          <w:sz w:val="20"/>
          <w:szCs w:val="20"/>
          <w:rtl/>
        </w:rPr>
        <w:t xml:space="preserve"> פדן, לעיל ה"ש 1, בעמ'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w:t>
      </w:r>
    </w:p>
  </w:footnote>
  <w:footnote w:id="42">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43">
    <w:p>
      <w:pPr>
        <w:bidi/>
        <w:spacing w:after="40" w:line="240"/>
        <w:jc w:val="both"/>
      </w:pPr>
      <w:r>
        <w:rPr>
          <w:rStyle w:val="FootnoteReference"/>
        </w:rPr>
        <w:footnoteRef/>
      </w:r>
      <w:r>
        <w:rPr>
          <w:rFonts w:ascii="Times New Roman" w:cs="David" w:eastAsia="David" w:hAnsi="Times New Roman"/>
          <w:sz w:val="20"/>
          <w:szCs w:val="20"/>
          <w:rtl/>
        </w:rPr>
        <w:t xml:space="preserve"> ס' 3 לפקודת המשטרה [נוסח חדש], התשל"א–1971.</w:t>
      </w:r>
    </w:p>
  </w:footnote>
  <w:footnote w:id="44">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ג'בארין</w:t>
      </w:r>
      <w:r>
        <w:rPr>
          <w:rFonts w:ascii="Times New Roman" w:cs="David" w:eastAsia="David" w:hAnsi="Times New Roman"/>
          <w:sz w:val="20"/>
          <w:szCs w:val="20"/>
          <w:rtl/>
        </w:rPr>
        <w:t xml:space="preserve">, לעיל ה"ש 8.</w:t>
      </w:r>
    </w:p>
  </w:footnote>
  <w:footnote w:id="45">
    <w:p>
      <w:pPr>
        <w:bidi/>
        <w:spacing w:after="40" w:line="240"/>
        <w:jc w:val="both"/>
      </w:pPr>
      <w:r>
        <w:rPr>
          <w:rStyle w:val="FootnoteReference"/>
        </w:rPr>
        <w:footnoteRef/>
      </w:r>
      <w:r>
        <w:rPr>
          <w:rFonts w:ascii="Times New Roman" w:cs="David" w:eastAsia="David" w:hAnsi="Times New Roman"/>
          <w:sz w:val="20"/>
          <w:szCs w:val="20"/>
          <w:rtl/>
        </w:rPr>
        <w:t xml:space="preserve"> ס' 8ג לפקודת המשטרה [נוסח חדש], התשל"א–1971.</w:t>
      </w:r>
    </w:p>
  </w:footnote>
  <w:footnote w:id="46">
    <w:p>
      <w:pPr>
        <w:bidi/>
        <w:spacing w:after="40" w:line="240"/>
        <w:jc w:val="both"/>
      </w:pPr>
      <w:r>
        <w:rPr>
          <w:rStyle w:val="FootnoteReference"/>
        </w:rPr>
        <w:footnoteRef/>
      </w:r>
      <w:r>
        <w:rPr>
          <w:rFonts w:ascii="Times New Roman" w:cs="David" w:eastAsia="David" w:hAnsi="Times New Roman"/>
          <w:sz w:val="20"/>
          <w:szCs w:val="20"/>
          <w:rtl/>
        </w:rPr>
        <w:t xml:space="preserve"> בג"ץ 8987/22 </w:t>
      </w:r>
      <w:r>
        <w:rPr>
          <w:rFonts w:ascii="Times New Roman" w:cs="David" w:eastAsia="David" w:hAnsi="Times New Roman"/>
          <w:b/>
          <w:bCs/>
          <w:sz w:val="20"/>
          <w:szCs w:val="20"/>
          <w:rtl/>
        </w:rPr>
        <w:t xml:space="preserve">התנועה למען איכות השלטון בישראל נ' הכנסת</w:t>
      </w:r>
      <w:r>
        <w:rPr>
          <w:rFonts w:ascii="Times New Roman" w:cs="David" w:eastAsia="David" w:hAnsi="Times New Roman"/>
          <w:sz w:val="20"/>
          <w:szCs w:val="20"/>
          <w:rtl/>
        </w:rPr>
        <w:t xml:space="preserve"> (נבו 2.1.2025).</w:t>
      </w:r>
    </w:p>
  </w:footnote>
  <w:footnote w:id="47">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48">
    <w:p>
      <w:pPr>
        <w:bidi/>
        <w:spacing w:after="40" w:line="240"/>
        <w:jc w:val="both"/>
      </w:pPr>
      <w:r>
        <w:rPr>
          <w:rStyle w:val="FootnoteReference"/>
        </w:rPr>
        <w:footnoteRef/>
      </w:r>
      <w:r>
        <w:rPr>
          <w:rFonts w:ascii="Times New Roman" w:cs="David" w:eastAsia="David" w:hAnsi="Times New Roman"/>
          <w:sz w:val="20"/>
          <w:szCs w:val="20"/>
          <w:rtl/>
        </w:rPr>
        <w:t xml:space="preserve"> שם.</w:t>
      </w:r>
    </w:p>
  </w:footnote>
  <w:footnote w:id="49">
    <w:p>
      <w:pPr>
        <w:bidi/>
        <w:spacing w:after="40" w:line="240"/>
        <w:jc w:val="both"/>
      </w:pPr>
      <w:r>
        <w:rPr>
          <w:rStyle w:val="FootnoteReference"/>
        </w:rPr>
        <w:footnoteRef/>
      </w:r>
      <w:r>
        <w:rPr>
          <w:rFonts w:ascii="Times New Roman" w:cs="David" w:eastAsia="David" w:hAnsi="Times New Roman"/>
          <w:sz w:val="20"/>
          <w:szCs w:val="20"/>
          <w:rtl w:val="false"/>
        </w:rPr>
        <w:t xml:space="preserve"> Kent Roach, </w:t>
      </w:r>
      <w:r>
        <w:rPr>
          <w:rFonts w:ascii="Times New Roman" w:cs="David" w:eastAsia="David" w:hAnsi="Times New Roman"/>
          <w:i/>
          <w:iCs/>
          <w:sz w:val="20"/>
          <w:szCs w:val="20"/>
          <w:rtl w:val="false"/>
        </w:rPr>
        <w:t xml:space="preserve">Models of Civilian Police Review: The Objectives and Mechanisms of Legal and Political Regulation of the Police</w:t>
      </w:r>
      <w:r>
        <w:rPr>
          <w:rFonts w:ascii="Times New Roman" w:cs="David" w:eastAsia="David" w:hAnsi="Times New Roman"/>
          <w:sz w:val="20"/>
          <w:szCs w:val="20"/>
          <w:rtl/>
        </w:rPr>
        <w:t xml:space="preserve">, 61 </w:t>
      </w:r>
      <w:r>
        <w:rPr>
          <w:rFonts w:ascii="Times New Roman" w:cs="David" w:eastAsia="David" w:hAnsi="Times New Roman"/>
          <w:sz w:val="20"/>
          <w:szCs w:val="20"/>
          <w:rtl w:val="false"/>
        </w:rPr>
        <w:t xml:space="preserve">CRIM. L.Q. 29 (2014)</w:t>
      </w:r>
      <w:r>
        <w:rPr>
          <w:rFonts w:ascii="Times New Roman" w:cs="David" w:eastAsia="David" w:hAnsi="Times New Roman"/>
          <w:sz w:val="20"/>
          <w:szCs w:val="20"/>
          <w:rtl/>
        </w:rPr>
        <w:t xml:space="preserve">, כמובא אצל פורום המרצות והמרצים, לעיל ה"ש 9, בעמ' 598.</w:t>
      </w:r>
    </w:p>
  </w:footnote>
  <w:footnote w:id="50">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התנועה למען איכות השלטון</w:t>
      </w:r>
      <w:r>
        <w:rPr>
          <w:rFonts w:ascii="Times New Roman" w:cs="David" w:eastAsia="David" w:hAnsi="Times New Roman"/>
          <w:sz w:val="20"/>
          <w:szCs w:val="20"/>
          <w:rtl/>
        </w:rPr>
        <w:t xml:space="preserve">, לעיל ה"ש 46.</w:t>
      </w:r>
    </w:p>
  </w:footnote>
  <w:footnote w:id="51">
    <w:p>
      <w:pPr>
        <w:bidi/>
        <w:spacing w:after="40" w:line="240"/>
        <w:jc w:val="both"/>
      </w:pPr>
      <w:r>
        <w:rPr>
          <w:rStyle w:val="FootnoteReference"/>
        </w:rPr>
        <w:footnoteRef/>
      </w:r>
      <w:r>
        <w:rPr>
          <w:rFonts w:ascii="Times New Roman" w:cs="David" w:eastAsia="David" w:hAnsi="Times New Roman"/>
          <w:sz w:val="20"/>
          <w:szCs w:val="20"/>
          <w:rtl/>
        </w:rPr>
        <w:t xml:space="preserve"> בג"ץ 6396/96 </w:t>
      </w:r>
      <w:r>
        <w:rPr>
          <w:rFonts w:ascii="Times New Roman" w:cs="David" w:eastAsia="David" w:hAnsi="Times New Roman"/>
          <w:b/>
          <w:bCs/>
          <w:sz w:val="20"/>
          <w:szCs w:val="20"/>
          <w:rtl/>
        </w:rPr>
        <w:t xml:space="preserve">זקין נ' ראש עיריית באר-שבע</w:t>
      </w:r>
      <w:r>
        <w:rPr>
          <w:rFonts w:ascii="Times New Roman" w:cs="David" w:eastAsia="David" w:hAnsi="Times New Roman"/>
          <w:sz w:val="20"/>
          <w:szCs w:val="20"/>
          <w:rtl/>
        </w:rPr>
        <w:t xml:space="preserve">, פ"ד נג(3) 289 (1999).</w:t>
      </w:r>
    </w:p>
  </w:footnote>
  <w:footnote w:id="52">
    <w:p>
      <w:pPr>
        <w:bidi/>
        <w:spacing w:after="40" w:line="240"/>
        <w:jc w:val="both"/>
      </w:pPr>
      <w:r>
        <w:rPr>
          <w:rStyle w:val="FootnoteReference"/>
        </w:rPr>
        <w:footnoteRef/>
      </w:r>
      <w:r>
        <w:rPr>
          <w:rFonts w:ascii="Times New Roman" w:cs="David" w:eastAsia="David" w:hAnsi="Times New Roman"/>
          <w:sz w:val="20"/>
          <w:szCs w:val="20"/>
          <w:rtl/>
        </w:rPr>
        <w:t xml:space="preserve"> ע"פ 4855/02 </w:t>
      </w:r>
      <w:r>
        <w:rPr>
          <w:rFonts w:ascii="Times New Roman" w:cs="David" w:eastAsia="David" w:hAnsi="Times New Roman"/>
          <w:b/>
          <w:bCs/>
          <w:sz w:val="20"/>
          <w:szCs w:val="20"/>
          <w:rtl/>
        </w:rPr>
        <w:t xml:space="preserve">מדינת ישראל נ' בורוביץ</w:t>
      </w:r>
      <w:r>
        <w:rPr>
          <w:rFonts w:ascii="Times New Roman" w:cs="David" w:eastAsia="David" w:hAnsi="Times New Roman"/>
          <w:sz w:val="20"/>
          <w:szCs w:val="20"/>
          <w:rtl/>
        </w:rPr>
        <w:t xml:space="preserve">, פ"ד נט(6) 776 (2005).</w:t>
      </w:r>
    </w:p>
  </w:footnote>
  <w:footnote w:id="53">
    <w:p>
      <w:pPr>
        <w:bidi/>
        <w:spacing w:after="40" w:line="240"/>
        <w:jc w:val="both"/>
      </w:pPr>
      <w:r>
        <w:rPr>
          <w:rStyle w:val="FootnoteReference"/>
        </w:rPr>
        <w:footnoteRef/>
      </w:r>
      <w:r>
        <w:rPr>
          <w:rFonts w:ascii="Times New Roman" w:cs="David" w:eastAsia="David" w:hAnsi="Times New Roman"/>
          <w:sz w:val="20"/>
          <w:szCs w:val="20"/>
          <w:rtl/>
        </w:rPr>
        <w:t xml:space="preserve"> ע"פ 6328/12 </w:t>
      </w:r>
      <w:r>
        <w:rPr>
          <w:rFonts w:ascii="Times New Roman" w:cs="David" w:eastAsia="David" w:hAnsi="Times New Roman"/>
          <w:b/>
          <w:bCs/>
          <w:sz w:val="20"/>
          <w:szCs w:val="20"/>
          <w:rtl/>
        </w:rPr>
        <w:t xml:space="preserve">מדינת ישראל נ' פרץ</w:t>
      </w:r>
      <w:r>
        <w:rPr>
          <w:rFonts w:ascii="Times New Roman" w:cs="David" w:eastAsia="David" w:hAnsi="Times New Roman"/>
          <w:sz w:val="20"/>
          <w:szCs w:val="20"/>
          <w:rtl/>
        </w:rPr>
        <w:t xml:space="preserve"> (נבו 10.9.2013).</w:t>
      </w:r>
    </w:p>
  </w:footnote>
  <w:footnote w:id="54">
    <w:p>
      <w:pPr>
        <w:bidi/>
        <w:spacing w:after="40" w:line="240"/>
        <w:jc w:val="both"/>
      </w:pPr>
      <w:r>
        <w:rPr>
          <w:rStyle w:val="FootnoteReference"/>
        </w:rPr>
        <w:footnoteRef/>
      </w:r>
      <w:r>
        <w:rPr>
          <w:rFonts w:ascii="Times New Roman" w:cs="David" w:eastAsia="David" w:hAnsi="Times New Roman"/>
          <w:sz w:val="20"/>
          <w:szCs w:val="20"/>
          <w:rtl/>
        </w:rPr>
        <w:t xml:space="preserve"> בג"ץ 1386/22 </w:t>
      </w:r>
      <w:r>
        <w:rPr>
          <w:rFonts w:ascii="Times New Roman" w:cs="David" w:eastAsia="David" w:hAnsi="Times New Roman"/>
          <w:b/>
          <w:bCs/>
          <w:sz w:val="20"/>
          <w:szCs w:val="20"/>
          <w:rtl/>
        </w:rPr>
        <w:t xml:space="preserve">דיאב נ' מפכ"ל משטרת ישראל</w:t>
      </w:r>
      <w:r>
        <w:rPr>
          <w:rFonts w:ascii="Times New Roman" w:cs="David" w:eastAsia="David" w:hAnsi="Times New Roman"/>
          <w:sz w:val="20"/>
          <w:szCs w:val="20"/>
          <w:rtl/>
        </w:rPr>
        <w:t xml:space="preserve"> (נבו 7.11.2022).</w:t>
      </w:r>
    </w:p>
  </w:footnote>
  <w:footnote w:id="55">
    <w:p>
      <w:pPr>
        <w:bidi/>
        <w:spacing w:after="40" w:line="240"/>
        <w:jc w:val="both"/>
      </w:pPr>
      <w:r>
        <w:rPr>
          <w:rStyle w:val="FootnoteReference"/>
        </w:rPr>
        <w:footnoteRef/>
      </w:r>
      <w:r>
        <w:rPr>
          <w:rFonts w:ascii="Times New Roman" w:cs="David" w:eastAsia="David" w:hAnsi="Times New Roman"/>
          <w:sz w:val="20"/>
          <w:szCs w:val="20"/>
          <w:rtl/>
        </w:rPr>
        <w:t xml:space="preserve"> בג"ץ 5442/23 </w:t>
      </w:r>
      <w:r>
        <w:rPr>
          <w:rFonts w:ascii="Times New Roman" w:cs="David" w:eastAsia="David" w:hAnsi="Times New Roman"/>
          <w:b/>
          <w:bCs/>
          <w:sz w:val="20"/>
          <w:szCs w:val="20"/>
          <w:rtl/>
        </w:rPr>
        <w:t xml:space="preserve">עבאס נ' מפכ"ל משטרת ישראל</w:t>
      </w:r>
      <w:r>
        <w:rPr>
          <w:rFonts w:ascii="Times New Roman" w:cs="David" w:eastAsia="David" w:hAnsi="Times New Roman"/>
          <w:sz w:val="20"/>
          <w:szCs w:val="20"/>
          <w:rtl/>
        </w:rPr>
        <w:t xml:space="preserve"> (נבו 20.7.2023).</w:t>
      </w:r>
    </w:p>
  </w:footnote>
  <w:footnote w:id="56">
    <w:p>
      <w:pPr>
        <w:bidi/>
        <w:spacing w:after="40" w:line="240"/>
        <w:jc w:val="both"/>
      </w:pPr>
      <w:r>
        <w:rPr>
          <w:rStyle w:val="FootnoteReference"/>
        </w:rPr>
        <w:footnoteRef/>
      </w:r>
      <w:r>
        <w:rPr>
          <w:rFonts w:ascii="Times New Roman" w:cs="David" w:eastAsia="David" w:hAnsi="Times New Roman"/>
          <w:sz w:val="20"/>
          <w:szCs w:val="20"/>
          <w:rtl/>
        </w:rPr>
        <w:t xml:space="preserve"> בג"ץ 2557/05 </w:t>
      </w:r>
      <w:r>
        <w:rPr>
          <w:rFonts w:ascii="Times New Roman" w:cs="David" w:eastAsia="David" w:hAnsi="Times New Roman"/>
          <w:b/>
          <w:bCs/>
          <w:sz w:val="20"/>
          <w:szCs w:val="20"/>
          <w:rtl/>
        </w:rPr>
        <w:t xml:space="preserve">מטה הרוב נ' משטרת ישראל</w:t>
      </w:r>
      <w:r>
        <w:rPr>
          <w:rFonts w:ascii="Times New Roman" w:cs="David" w:eastAsia="David" w:hAnsi="Times New Roman"/>
          <w:sz w:val="20"/>
          <w:szCs w:val="20"/>
          <w:rtl/>
        </w:rPr>
        <w:t xml:space="preserve">, פ"ד סב(1) 200 (2006).</w:t>
      </w:r>
    </w:p>
  </w:footnote>
  <w:footnote w:id="57">
    <w:p>
      <w:pPr>
        <w:bidi/>
        <w:spacing w:after="40" w:line="240"/>
        <w:jc w:val="both"/>
      </w:pPr>
      <w:r>
        <w:rPr>
          <w:rStyle w:val="FootnoteReference"/>
        </w:rPr>
        <w:footnoteRef/>
      </w:r>
      <w:r>
        <w:rPr>
          <w:rFonts w:ascii="Times New Roman" w:cs="David" w:eastAsia="David" w:hAnsi="Times New Roman"/>
          <w:sz w:val="20"/>
          <w:szCs w:val="20"/>
          <w:rtl/>
        </w:rPr>
        <w:t xml:space="preserve"> רותם קדוש נוסבאום "פגיעה בזכויות אדם בשל שימוש משטרתי באמצעים טכנולוגיים למעקב ושיטור מנבא" </w:t>
      </w:r>
      <w:r>
        <w:rPr>
          <w:rFonts w:ascii="Times New Roman" w:cs="David" w:eastAsia="David" w:hAnsi="Times New Roman"/>
          <w:b/>
          <w:bCs/>
          <w:sz w:val="20"/>
          <w:szCs w:val="20"/>
          <w:rtl/>
        </w:rPr>
        <w:t xml:space="preserve">המשפט</w:t>
      </w:r>
      <w:r>
        <w:rPr>
          <w:rFonts w:ascii="Times New Roman" w:cs="David" w:eastAsia="David" w:hAnsi="Times New Roman"/>
          <w:sz w:val="20"/>
          <w:szCs w:val="20"/>
          <w:rtl/>
        </w:rPr>
        <w:t xml:space="preserve"> לא 79, 109 (התשפ"ו).</w:t>
      </w:r>
    </w:p>
  </w:footnote>
  <w:footnote w:id="58">
    <w:p>
      <w:pPr>
        <w:bidi/>
        <w:spacing w:after="40" w:line="240"/>
        <w:jc w:val="both"/>
      </w:pPr>
      <w:r>
        <w:rPr>
          <w:rStyle w:val="FootnoteReference"/>
        </w:rPr>
        <w:footnoteRef/>
      </w:r>
      <w:r>
        <w:rPr>
          <w:rFonts w:ascii="Times New Roman" w:cs="David" w:eastAsia="David" w:hAnsi="Times New Roman"/>
          <w:sz w:val="20"/>
          <w:szCs w:val="20"/>
          <w:rtl/>
        </w:rPr>
        <w:t xml:space="preserve"> באדי חסייסי ויעל ליטמנוביץ "משילות ויעילות בשיטור מיעוטים בחברות שסועות: נקודת המבט של מפקדי תחנות משטרה על החברה הערבית בישראל" </w:t>
      </w:r>
      <w:r>
        <w:rPr>
          <w:rFonts w:ascii="Times New Roman" w:cs="David" w:eastAsia="David" w:hAnsi="Times New Roman"/>
          <w:b/>
          <w:bCs/>
          <w:sz w:val="20"/>
          <w:szCs w:val="20"/>
          <w:rtl/>
        </w:rPr>
        <w:t xml:space="preserve">משפט ומשטרה</w:t>
      </w:r>
      <w:r>
        <w:rPr>
          <w:rFonts w:ascii="Times New Roman" w:cs="David" w:eastAsia="David" w:hAnsi="Times New Roman"/>
          <w:sz w:val="20"/>
          <w:szCs w:val="20"/>
          <w:rtl/>
        </w:rPr>
        <w:t xml:space="preserve"> 265, 271 (2021), כמובא אצל קדוש נוסבאום, לעיל ה"ש 57, בעמ' 110.</w:t>
      </w:r>
    </w:p>
  </w:footnote>
  <w:footnote w:id="59">
    <w:p>
      <w:pPr>
        <w:bidi/>
        <w:spacing w:after="40" w:line="240"/>
        <w:jc w:val="both"/>
      </w:pPr>
      <w:r>
        <w:rPr>
          <w:rStyle w:val="FootnoteReference"/>
        </w:rPr>
        <w:footnoteRef/>
      </w:r>
      <w:r>
        <w:rPr>
          <w:rFonts w:ascii="Times New Roman" w:cs="David" w:eastAsia="David" w:hAnsi="Times New Roman"/>
          <w:sz w:val="20"/>
          <w:szCs w:val="20"/>
          <w:rtl/>
        </w:rPr>
        <w:t xml:space="preserve"> פורום המרצות והמרצים, לעיל ה"ש 9, בעמ' 594.</w:t>
      </w:r>
    </w:p>
  </w:footnote>
  <w:footnote w:id="60">
    <w:p>
      <w:pPr>
        <w:bidi/>
        <w:spacing w:after="40" w:line="240"/>
        <w:jc w:val="both"/>
      </w:pPr>
      <w:r>
        <w:rPr>
          <w:rStyle w:val="FootnoteReference"/>
        </w:rPr>
        <w:footnoteRef/>
      </w:r>
      <w:r>
        <w:rPr>
          <w:rFonts w:ascii="Times New Roman" w:cs="David" w:eastAsia="David" w:hAnsi="Times New Roman"/>
          <w:sz w:val="20"/>
          <w:szCs w:val="20"/>
          <w:rtl w:val="false"/>
        </w:rPr>
        <w:t xml:space="preserve"> Moule et al. </w:t>
      </w:r>
      <w:r>
        <w:rPr>
          <w:rFonts w:ascii="Times New Roman" w:cs="David" w:eastAsia="David" w:hAnsi="Times New Roman"/>
          <w:sz w:val="20"/>
          <w:szCs w:val="20"/>
          <w:shd w:fill="FFF200" w:color="auto" w:val="clear"/>
          <w:rtl/>
        </w:rPr>
        <w:t xml:space="preserve">[פרטי המאמר כפי שהם מופיעים בהערת השוליים של הפורום]</w:t>
      </w:r>
      <w:r>
        <w:rPr>
          <w:rFonts w:ascii="Times New Roman" w:cs="David" w:eastAsia="David" w:hAnsi="Times New Roman"/>
          <w:sz w:val="20"/>
          <w:szCs w:val="20"/>
          <w:rtl/>
        </w:rPr>
        <w:t xml:space="preserve"> (2019), כמובא אצל פורום המרצות והמרצים, לעיל ה"ש 9, בעמ' 593.</w:t>
      </w:r>
    </w:p>
  </w:footnote>
  <w:footnote w:id="61">
    <w:p>
      <w:pPr>
        <w:bidi/>
        <w:spacing w:after="40" w:line="240"/>
        <w:jc w:val="both"/>
      </w:pPr>
      <w:r>
        <w:rPr>
          <w:rStyle w:val="FootnoteReference"/>
        </w:rPr>
        <w:footnoteRef/>
      </w:r>
      <w:r>
        <w:rPr>
          <w:rFonts w:ascii="Times New Roman" w:cs="David" w:eastAsia="David" w:hAnsi="Times New Roman"/>
          <w:sz w:val="20"/>
          <w:szCs w:val="20"/>
          <w:rtl/>
        </w:rPr>
        <w:t xml:space="preserve"> מיכאל בירנהק </w:t>
      </w:r>
      <w:r>
        <w:rPr>
          <w:rFonts w:ascii="Times New Roman" w:cs="David" w:eastAsia="David" w:hAnsi="Times New Roman"/>
          <w:b/>
          <w:bCs/>
          <w:sz w:val="20"/>
          <w:szCs w:val="20"/>
          <w:rtl/>
        </w:rPr>
        <w:t xml:space="preserve">פרטיות חוקתית</w:t>
      </w:r>
      <w:r>
        <w:rPr>
          <w:rFonts w:ascii="Times New Roman" w:cs="David" w:eastAsia="David" w:hAnsi="Times New Roman"/>
          <w:sz w:val="20"/>
          <w:szCs w:val="20"/>
          <w:rtl w:val="false"/>
        </w:rPr>
        <w:t xml:space="preserve"> 400 (2023).</w:t>
      </w:r>
    </w:p>
  </w:footnote>
  <w:footnote w:id="62">
    <w:p>
      <w:pPr>
        <w:bidi/>
        <w:spacing w:after="40" w:line="240"/>
        <w:jc w:val="both"/>
      </w:pPr>
      <w:r>
        <w:rPr>
          <w:rStyle w:val="FootnoteReference"/>
        </w:rPr>
        <w:footnoteRef/>
      </w:r>
      <w:r>
        <w:rPr>
          <w:rFonts w:ascii="Times New Roman" w:cs="David" w:eastAsia="David" w:hAnsi="Times New Roman"/>
          <w:sz w:val="20"/>
          <w:szCs w:val="20"/>
          <w:rtl/>
        </w:rPr>
        <w:t xml:space="preserve"> שם, בעמ' 399.</w:t>
      </w:r>
    </w:p>
  </w:footnote>
  <w:footnote w:id="63">
    <w:p>
      <w:pPr>
        <w:bidi/>
        <w:spacing w:after="40" w:line="240"/>
        <w:jc w:val="both"/>
      </w:pPr>
      <w:r>
        <w:rPr>
          <w:rStyle w:val="FootnoteReference"/>
        </w:rPr>
        <w:footnoteRef/>
      </w:r>
      <w:r>
        <w:rPr>
          <w:rFonts w:ascii="Times New Roman" w:cs="David" w:eastAsia="David" w:hAnsi="Times New Roman"/>
          <w:sz w:val="20"/>
          <w:szCs w:val="20"/>
          <w:rtl/>
        </w:rPr>
        <w:t xml:space="preserve"> שם, בעמ' 398.</w:t>
      </w:r>
    </w:p>
  </w:footnote>
  <w:footnote w:id="64">
    <w:p>
      <w:pPr>
        <w:bidi/>
        <w:spacing w:after="40" w:line="240"/>
        <w:jc w:val="both"/>
      </w:pPr>
      <w:r>
        <w:rPr>
          <w:rStyle w:val="FootnoteReference"/>
        </w:rPr>
        <w:footnoteRef/>
      </w:r>
      <w:r>
        <w:rPr>
          <w:rFonts w:ascii="Times New Roman" w:cs="David" w:eastAsia="David" w:hAnsi="Times New Roman"/>
          <w:sz w:val="20"/>
          <w:szCs w:val="20"/>
          <w:rtl/>
        </w:rPr>
        <w:t xml:space="preserve"> ס' 144 לחוק העונשין, התשל"ז–1977.</w:t>
      </w:r>
    </w:p>
  </w:footnote>
  <w:footnote w:id="65">
    <w:p>
      <w:pPr>
        <w:bidi/>
        <w:spacing w:after="40" w:line="240"/>
        <w:jc w:val="both"/>
      </w:pPr>
      <w:r>
        <w:rPr>
          <w:rStyle w:val="FootnoteReference"/>
        </w:rPr>
        <w:footnoteRef/>
      </w:r>
      <w:r>
        <w:rPr>
          <w:rFonts w:ascii="Times New Roman" w:cs="David" w:eastAsia="David" w:hAnsi="Times New Roman"/>
          <w:sz w:val="20"/>
          <w:szCs w:val="20"/>
          <w:rtl/>
        </w:rPr>
        <w:t xml:space="preserve"> ס' 144(ז) לחוק העונשין, התשל"ז–1977.</w:t>
      </w:r>
    </w:p>
  </w:footnote>
  <w:footnote w:id="66">
    <w:p>
      <w:pPr>
        <w:bidi/>
        <w:spacing w:after="40" w:line="240"/>
        <w:jc w:val="both"/>
      </w:pPr>
      <w:r>
        <w:rPr>
          <w:rStyle w:val="FootnoteReference"/>
        </w:rPr>
        <w:footnoteRef/>
      </w:r>
      <w:r>
        <w:rPr>
          <w:rFonts w:ascii="Times New Roman" w:cs="David" w:eastAsia="David" w:hAnsi="Times New Roman"/>
          <w:sz w:val="20"/>
          <w:szCs w:val="20"/>
          <w:rtl/>
        </w:rPr>
        <w:t xml:space="preserve"> ס' 340א לחוק העונשין, התשל"ז–1977.</w:t>
      </w:r>
    </w:p>
  </w:footnote>
  <w:footnote w:id="67">
    <w:p>
      <w:pPr>
        <w:bidi/>
        <w:spacing w:after="40" w:line="240"/>
        <w:jc w:val="both"/>
      </w:pPr>
      <w:r>
        <w:rPr>
          <w:rStyle w:val="FootnoteReference"/>
        </w:rPr>
        <w:footnoteRef/>
      </w:r>
      <w:r>
        <w:rPr>
          <w:rFonts w:ascii="Times New Roman" w:cs="David" w:eastAsia="David" w:hAnsi="Times New Roman"/>
          <w:sz w:val="20"/>
          <w:szCs w:val="20"/>
          <w:rtl/>
        </w:rPr>
        <w:t xml:space="preserve"> רון שפירא, איתי ברסלר-גונן ואילנית הלל </w:t>
      </w:r>
      <w:r>
        <w:rPr>
          <w:rFonts w:ascii="Times New Roman" w:cs="David" w:eastAsia="David" w:hAnsi="Times New Roman"/>
          <w:b/>
          <w:bCs/>
          <w:sz w:val="20"/>
          <w:szCs w:val="20"/>
          <w:rtl/>
        </w:rPr>
        <w:t xml:space="preserve">הליכי מעצר: מורה נבוכים</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(2025).</w:t>
      </w:r>
    </w:p>
  </w:footnote>
  <w:footnote w:id="68">
    <w:p>
      <w:pPr>
        <w:bidi/>
        <w:spacing w:after="40" w:line="240"/>
        <w:jc w:val="both"/>
      </w:pPr>
      <w:r>
        <w:rPr>
          <w:rStyle w:val="FootnoteReference"/>
        </w:rPr>
        <w:footnoteRef/>
      </w:r>
      <w:r>
        <w:rPr>
          <w:rFonts w:ascii="Times New Roman" w:cs="David" w:eastAsia="David" w:hAnsi="Times New Roman"/>
          <w:sz w:val="20"/>
          <w:szCs w:val="20"/>
          <w:rtl/>
        </w:rPr>
        <w:t xml:space="preserve"> ע"פ 2482/22 </w:t>
      </w:r>
      <w:r>
        <w:rPr>
          <w:rFonts w:ascii="Times New Roman" w:cs="David" w:eastAsia="David" w:hAnsi="Times New Roman"/>
          <w:b/>
          <w:bCs/>
          <w:sz w:val="20"/>
          <w:szCs w:val="20"/>
          <w:rtl/>
        </w:rPr>
        <w:t xml:space="preserve">מדינת ישראל נ' קדורה</w:t>
      </w:r>
      <w:r>
        <w:rPr>
          <w:rFonts w:ascii="Times New Roman" w:cs="David" w:eastAsia="David" w:hAnsi="Times New Roman"/>
          <w:sz w:val="20"/>
          <w:szCs w:val="20"/>
          <w:rtl/>
        </w:rPr>
        <w:t xml:space="preserve"> (נבו 14.4.2022).</w:t>
      </w:r>
    </w:p>
  </w:footnote>
  <w:footnote w:id="69">
    <w:p>
      <w:pPr>
        <w:bidi/>
        <w:spacing w:after="40" w:line="240"/>
        <w:jc w:val="both"/>
      </w:pPr>
      <w:r>
        <w:rPr>
          <w:rStyle w:val="FootnoteReference"/>
        </w:rPr>
        <w:footnoteRef/>
      </w:r>
      <w:r>
        <w:rPr>
          <w:rFonts w:ascii="Times New Roman" w:cs="David" w:eastAsia="David" w:hAnsi="Times New Roman"/>
          <w:sz w:val="20"/>
          <w:szCs w:val="20"/>
          <w:rtl/>
        </w:rPr>
        <w:t xml:space="preserve"> ע"פ 2165/23 </w:t>
      </w:r>
      <w:r>
        <w:rPr>
          <w:rFonts w:ascii="Times New Roman" w:cs="David" w:eastAsia="David" w:hAnsi="Times New Roman"/>
          <w:b/>
          <w:bCs/>
          <w:sz w:val="20"/>
          <w:szCs w:val="20"/>
          <w:rtl/>
        </w:rPr>
        <w:t xml:space="preserve">מדינת ישראל נ' בלאל</w:t>
      </w:r>
      <w:r>
        <w:rPr>
          <w:rFonts w:ascii="Times New Roman" w:cs="David" w:eastAsia="David" w:hAnsi="Times New Roman"/>
          <w:sz w:val="20"/>
          <w:szCs w:val="20"/>
          <w:rtl/>
        </w:rPr>
        <w:t xml:space="preserve"> (נבו 4.5.2023).</w:t>
      </w:r>
    </w:p>
  </w:footnote>
  <w:footnote w:id="70">
    <w:p>
      <w:pPr>
        <w:bidi/>
        <w:spacing w:after="40" w:line="240"/>
        <w:jc w:val="both"/>
      </w:pPr>
      <w:r>
        <w:rPr>
          <w:rStyle w:val="FootnoteReference"/>
        </w:rPr>
        <w:footnoteRef/>
      </w:r>
      <w:r>
        <w:rPr>
          <w:rFonts w:ascii="Times New Roman" w:cs="David" w:eastAsia="David" w:hAnsi="Times New Roman"/>
          <w:sz w:val="20"/>
          <w:szCs w:val="20"/>
          <w:rtl/>
        </w:rPr>
        <w:t xml:space="preserve"> ע"פ 4406/19 </w:t>
      </w:r>
      <w:r>
        <w:rPr>
          <w:rFonts w:ascii="Times New Roman" w:cs="David" w:eastAsia="David" w:hAnsi="Times New Roman"/>
          <w:b/>
          <w:bCs/>
          <w:sz w:val="20"/>
          <w:szCs w:val="20"/>
          <w:rtl/>
        </w:rPr>
        <w:t xml:space="preserve">מדינת ישראל נ' סובח</w:t>
      </w:r>
      <w:r>
        <w:rPr>
          <w:rFonts w:ascii="Times New Roman" w:cs="David" w:eastAsia="David" w:hAnsi="Times New Roman"/>
          <w:sz w:val="20"/>
          <w:szCs w:val="20"/>
          <w:rtl/>
        </w:rPr>
        <w:t xml:space="preserve"> (נבו 5.11.2019).</w:t>
      </w:r>
    </w:p>
  </w:footnote>
  <w:footnote w:id="71">
    <w:p>
      <w:pPr>
        <w:bidi/>
        <w:spacing w:after="40" w:line="240"/>
        <w:jc w:val="both"/>
      </w:pPr>
      <w:r>
        <w:rPr>
          <w:rStyle w:val="FootnoteReference"/>
        </w:rPr>
        <w:footnoteRef/>
      </w:r>
      <w:r>
        <w:rPr>
          <w:rFonts w:ascii="Times New Roman" w:cs="David" w:eastAsia="David" w:hAnsi="Times New Roman"/>
          <w:sz w:val="20"/>
          <w:szCs w:val="20"/>
          <w:rtl/>
        </w:rPr>
        <w:t xml:space="preserve"> ת"פ (שלום חד') 34366-04-24 </w:t>
      </w:r>
      <w:r>
        <w:rPr>
          <w:rFonts w:ascii="Times New Roman" w:cs="David" w:eastAsia="David" w:hAnsi="Times New Roman"/>
          <w:b/>
          <w:bCs/>
          <w:sz w:val="20"/>
          <w:szCs w:val="20"/>
          <w:rtl/>
        </w:rPr>
        <w:t xml:space="preserve">מדינת ישראל נ' אוסיפוב</w:t>
      </w:r>
      <w:r>
        <w:rPr>
          <w:rFonts w:ascii="Times New Roman" w:cs="David" w:eastAsia="David" w:hAnsi="Times New Roman"/>
          <w:sz w:val="20"/>
          <w:szCs w:val="20"/>
          <w:rtl/>
        </w:rPr>
        <w:t xml:space="preserve"> (נבו 6.3.2025).</w:t>
      </w:r>
    </w:p>
  </w:footnote>
  <w:footnote w:id="72">
    <w:p>
      <w:pPr>
        <w:bidi/>
        <w:spacing w:after="40" w:line="240"/>
        <w:jc w:val="both"/>
      </w:pPr>
      <w:r>
        <w:rPr>
          <w:rStyle w:val="FootnoteReference"/>
        </w:rPr>
        <w:footnoteRef/>
      </w:r>
      <w:r>
        <w:rPr>
          <w:rFonts w:ascii="Times New Roman" w:cs="David" w:eastAsia="David" w:hAnsi="Times New Roman"/>
          <w:sz w:val="20"/>
          <w:szCs w:val="20"/>
          <w:rtl/>
        </w:rPr>
        <w:t xml:space="preserve"> ספיר, לעיל ה"ש 2.</w:t>
      </w:r>
    </w:p>
  </w:footnote>
  <w:footnote w:id="73">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דיאב</w:t>
      </w:r>
      <w:r>
        <w:rPr>
          <w:rFonts w:ascii="Times New Roman" w:cs="David" w:eastAsia="David" w:hAnsi="Times New Roman"/>
          <w:sz w:val="20"/>
          <w:szCs w:val="20"/>
          <w:rtl/>
        </w:rPr>
        <w:t xml:space="preserve">, לעיל ה"ש 54; עניין </w:t>
      </w:r>
      <w:r>
        <w:rPr>
          <w:rFonts w:ascii="Times New Roman" w:cs="David" w:eastAsia="David" w:hAnsi="Times New Roman"/>
          <w:b/>
          <w:bCs/>
          <w:sz w:val="20"/>
          <w:szCs w:val="20"/>
          <w:rtl/>
        </w:rPr>
        <w:t xml:space="preserve">עבאס</w:t>
      </w:r>
      <w:r>
        <w:rPr>
          <w:rFonts w:ascii="Times New Roman" w:cs="David" w:eastAsia="David" w:hAnsi="Times New Roman"/>
          <w:sz w:val="20"/>
          <w:szCs w:val="20"/>
          <w:rtl/>
        </w:rPr>
        <w:t xml:space="preserve">, לעיל ה"ש 55.</w:t>
      </w:r>
    </w:p>
  </w:footnote>
  <w:footnote w:id="74">
    <w:p>
      <w:pPr>
        <w:bidi/>
        <w:spacing w:after="40" w:line="240"/>
        <w:jc w:val="both"/>
      </w:pPr>
      <w:r>
        <w:rPr>
          <w:rStyle w:val="FootnoteReference"/>
        </w:rPr>
        <w:footnoteRef/>
      </w:r>
      <w:r>
        <w:rPr>
          <w:rFonts w:ascii="Times New Roman" w:cs="David" w:eastAsia="David" w:hAnsi="Times New Roman"/>
          <w:sz w:val="20"/>
          <w:szCs w:val="20"/>
          <w:rtl/>
        </w:rPr>
        <w:t xml:space="preserve"> קיטאי סנג'רו, לעיל ה"ש 25, בעמ' 275.</w:t>
      </w:r>
    </w:p>
  </w:footnote>
  <w:footnote w:id="75">
    <w:p>
      <w:pPr>
        <w:bidi/>
        <w:spacing w:after="40" w:line="240"/>
        <w:jc w:val="both"/>
      </w:pPr>
      <w:r>
        <w:rPr>
          <w:rStyle w:val="FootnoteReference"/>
        </w:rPr>
        <w:footnoteRef/>
      </w:r>
      <w:r>
        <w:rPr>
          <w:rFonts w:ascii="Times New Roman" w:cs="David" w:eastAsia="David" w:hAnsi="Times New Roman"/>
          <w:sz w:val="20"/>
          <w:szCs w:val="20"/>
          <w:rtl/>
        </w:rPr>
        <w:t xml:space="preserve"> שי שטרן </w:t>
      </w:r>
      <w:r>
        <w:rPr>
          <w:rFonts w:ascii="Times New Roman" w:cs="David" w:eastAsia="David" w:hAnsi="Times New Roman"/>
          <w:b/>
          <w:bCs/>
          <w:sz w:val="20"/>
          <w:szCs w:val="20"/>
          <w:rtl/>
        </w:rPr>
        <w:t xml:space="preserve">קהילות במשפט</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(2026).</w:t>
      </w:r>
    </w:p>
  </w:footnote>
  <w:footnote w:id="76">
    <w:p>
      <w:pPr>
        <w:bidi/>
        <w:spacing w:after="40" w:line="240"/>
        <w:jc w:val="both"/>
      </w:pPr>
      <w:r>
        <w:rPr>
          <w:rStyle w:val="FootnoteReference"/>
        </w:rPr>
        <w:footnoteRef/>
      </w:r>
      <w:r>
        <w:rPr>
          <w:rFonts w:ascii="Times New Roman" w:cs="David" w:eastAsia="David" w:hAnsi="Times New Roman"/>
          <w:sz w:val="20"/>
          <w:szCs w:val="20"/>
          <w:rtl/>
        </w:rPr>
        <w:t xml:space="preserve"> אסף הרדוף </w:t>
      </w:r>
      <w:r>
        <w:rPr>
          <w:rFonts w:ascii="Times New Roman" w:cs="David" w:eastAsia="David" w:hAnsi="Times New Roman"/>
          <w:b/>
          <w:bCs/>
          <w:sz w:val="20"/>
          <w:szCs w:val="20"/>
          <w:rtl/>
        </w:rPr>
        <w:t xml:space="preserve">סדר הדין הפלילי</w:t>
      </w:r>
      <w:r>
        <w:rPr>
          <w:rFonts w:ascii="Times New Roman" w:cs="David" w:eastAsia="David" w:hAnsi="Times New Roman"/>
          <w:sz w:val="20"/>
          <w:szCs w:val="20"/>
          <w:rtl/>
        </w:rPr>
        <w:t xml:space="preserve"> חלק א (</w:t>
      </w:r>
      <w:r>
        <w:rPr>
          <w:rFonts w:ascii="Times New Roman" w:cs="David" w:eastAsia="David" w:hAnsi="Times New Roman"/>
          <w:sz w:val="20"/>
          <w:szCs w:val="20"/>
          <w:shd w:fill="FFF200" w:color="auto" w:val="clear"/>
          <w:rtl/>
        </w:rPr>
        <w:t xml:space="preserve">[שנה]</w:t>
      </w:r>
      <w:r>
        <w:rPr>
          <w:rFonts w:ascii="Times New Roman" w:cs="David" w:eastAsia="David" w:hAnsi="Times New Roman"/>
          <w:sz w:val="20"/>
          <w:szCs w:val="20"/>
          <w:rtl w:val="false"/>
        </w:rPr>
        <w:t xml:space="preserve">).</w:t>
      </w:r>
    </w:p>
  </w:footnote>
  <w:footnote w:id="77">
    <w:p>
      <w:pPr>
        <w:bidi/>
        <w:spacing w:after="40" w:line="240"/>
        <w:jc w:val="both"/>
      </w:pPr>
      <w:r>
        <w:rPr>
          <w:rStyle w:val="FootnoteReference"/>
        </w:rPr>
        <w:footnoteRef/>
      </w:r>
      <w:r>
        <w:rPr>
          <w:rFonts w:ascii="Times New Roman" w:cs="David" w:eastAsia="David" w:hAnsi="Times New Roman"/>
          <w:sz w:val="20"/>
          <w:szCs w:val="20"/>
          <w:rtl/>
        </w:rPr>
        <w:t xml:space="preserve"> בג"ץ 5078/20 </w:t>
      </w:r>
      <w:r>
        <w:rPr>
          <w:rFonts w:ascii="Times New Roman" w:cs="David" w:eastAsia="David" w:hAnsi="Times New Roman"/>
          <w:b/>
          <w:bCs/>
          <w:sz w:val="20"/>
          <w:szCs w:val="20"/>
          <w:rtl/>
        </w:rPr>
        <w:t xml:space="preserve">פדידה נ' משטרת ישראל – מפקד מחוז ירושלים</w:t>
      </w:r>
      <w:r>
        <w:rPr>
          <w:rFonts w:ascii="Times New Roman" w:cs="David" w:eastAsia="David" w:hAnsi="Times New Roman"/>
          <w:sz w:val="20"/>
          <w:szCs w:val="20"/>
          <w:rtl/>
        </w:rPr>
        <w:t xml:space="preserve">, פסק דינה של השופטת וילנר (נבו 19.8.2020).</w:t>
      </w:r>
    </w:p>
  </w:footnote>
  <w:footnote w:id="78">
    <w:p>
      <w:pPr>
        <w:bidi/>
        <w:spacing w:after="40" w:line="240"/>
        <w:jc w:val="both"/>
      </w:pPr>
      <w:r>
        <w:rPr>
          <w:rStyle w:val="FootnoteReference"/>
        </w:rPr>
        <w:footnoteRef/>
      </w:r>
      <w:r>
        <w:rPr>
          <w:rFonts w:ascii="Times New Roman" w:cs="David" w:eastAsia="David" w:hAnsi="Times New Roman"/>
          <w:sz w:val="20"/>
          <w:szCs w:val="20"/>
          <w:rtl/>
        </w:rPr>
        <w:t xml:space="preserve"> ס' 3 לחוק סמכויות לשם שמירה על ביטחון הציבור, התשס"ה–2005.</w:t>
      </w:r>
    </w:p>
  </w:footnote>
  <w:footnote w:id="79">
    <w:p>
      <w:pPr>
        <w:bidi/>
        <w:spacing w:after="40" w:line="240"/>
        <w:jc w:val="both"/>
      </w:pPr>
      <w:r>
        <w:rPr>
          <w:rStyle w:val="FootnoteReference"/>
        </w:rPr>
        <w:footnoteRef/>
      </w:r>
      <w:r>
        <w:rPr>
          <w:rFonts w:ascii="Times New Roman" w:cs="David" w:eastAsia="David" w:hAnsi="Times New Roman"/>
          <w:sz w:val="20"/>
          <w:szCs w:val="20"/>
          <w:rtl/>
        </w:rPr>
        <w:t xml:space="preserve"> ס' 67, 73 לחוק סדר הדין הפלילי (סמכויות אכיפה – מעצרים), התשנ"ו–1996.</w:t>
      </w:r>
    </w:p>
  </w:footnote>
  <w:footnote w:id="80">
    <w:p>
      <w:pPr>
        <w:bidi/>
        <w:spacing w:after="40" w:line="240"/>
        <w:jc w:val="both"/>
      </w:pPr>
      <w:r>
        <w:rPr>
          <w:rStyle w:val="FootnoteReference"/>
        </w:rPr>
        <w:footnoteRef/>
      </w:r>
      <w:r>
        <w:rPr>
          <w:rFonts w:ascii="Times New Roman" w:cs="David" w:eastAsia="David" w:hAnsi="Times New Roman"/>
          <w:sz w:val="20"/>
          <w:szCs w:val="20"/>
          <w:rtl/>
        </w:rPr>
        <w:t xml:space="preserve"> ס' 72א, 74 לחוק סדר הדין הפלילי (סמכויות אכיפה – מעצרים), התשנ"ו–1996.</w:t>
      </w:r>
    </w:p>
  </w:footnote>
  <w:footnote w:id="81">
    <w:p>
      <w:pPr>
        <w:bidi/>
        <w:spacing w:after="40" w:line="240"/>
        <w:jc w:val="both"/>
      </w:pPr>
      <w:r>
        <w:rPr>
          <w:rStyle w:val="FootnoteReference"/>
        </w:rPr>
        <w:footnoteRef/>
      </w:r>
      <w:r>
        <w:rPr>
          <w:rFonts w:ascii="Times New Roman" w:cs="David" w:eastAsia="David" w:hAnsi="Times New Roman"/>
          <w:sz w:val="20"/>
          <w:szCs w:val="20"/>
          <w:rtl/>
        </w:rPr>
        <w:t xml:space="preserve"> רע"פ 3199/20 </w:t>
      </w:r>
      <w:r>
        <w:rPr>
          <w:rFonts w:ascii="Times New Roman" w:cs="David" w:eastAsia="David" w:hAnsi="Times New Roman"/>
          <w:b/>
          <w:bCs/>
          <w:sz w:val="20"/>
          <w:szCs w:val="20"/>
          <w:rtl/>
        </w:rPr>
        <w:t xml:space="preserve">זייצב נ' מדינת ישראל</w:t>
      </w:r>
      <w:r>
        <w:rPr>
          <w:rFonts w:ascii="Times New Roman" w:cs="David" w:eastAsia="David" w:hAnsi="Times New Roman"/>
          <w:sz w:val="20"/>
          <w:szCs w:val="20"/>
          <w:rtl/>
        </w:rPr>
        <w:t xml:space="preserve">, פס' 16 לפסק דינו של השופט אלרון (נבו 12.8.2021).</w:t>
      </w:r>
    </w:p>
  </w:footnote>
  <w:footnote w:id="82">
    <w:p>
      <w:pPr>
        <w:bidi/>
        <w:spacing w:after="40" w:line="240"/>
        <w:jc w:val="both"/>
      </w:pPr>
      <w:r>
        <w:rPr>
          <w:rStyle w:val="FootnoteReference"/>
        </w:rPr>
        <w:footnoteRef/>
      </w:r>
      <w:r>
        <w:rPr>
          <w:rFonts w:ascii="Times New Roman" w:cs="David" w:eastAsia="David" w:hAnsi="Times New Roman"/>
          <w:sz w:val="20"/>
          <w:szCs w:val="20"/>
          <w:rtl/>
        </w:rPr>
        <w:t xml:space="preserve"> רע"פ 3829/15 </w:t>
      </w:r>
      <w:r>
        <w:rPr>
          <w:rFonts w:ascii="Times New Roman" w:cs="David" w:eastAsia="David" w:hAnsi="Times New Roman"/>
          <w:b/>
          <w:bCs/>
          <w:sz w:val="20"/>
          <w:szCs w:val="20"/>
          <w:rtl/>
        </w:rPr>
        <w:t xml:space="preserve">קסאי נ' מדינת ישראל</w:t>
      </w:r>
      <w:r>
        <w:rPr>
          <w:rFonts w:ascii="Times New Roman" w:cs="David" w:eastAsia="David" w:hAnsi="Times New Roman"/>
          <w:sz w:val="20"/>
          <w:szCs w:val="20"/>
          <w:rtl/>
        </w:rPr>
        <w:t xml:space="preserve"> (נבו 20.12.2018).</w:t>
      </w:r>
    </w:p>
  </w:footnote>
  <w:footnote w:id="83">
    <w:p>
      <w:pPr>
        <w:bidi/>
        <w:spacing w:after="40" w:line="240"/>
        <w:jc w:val="both"/>
      </w:pPr>
      <w:r>
        <w:rPr>
          <w:rStyle w:val="FootnoteReference"/>
        </w:rPr>
        <w:footnoteRef/>
      </w:r>
      <w:r>
        <w:rPr>
          <w:rFonts w:ascii="Times New Roman" w:cs="David" w:eastAsia="David" w:hAnsi="Times New Roman"/>
          <w:sz w:val="20"/>
          <w:szCs w:val="20"/>
          <w:rtl/>
        </w:rPr>
        <w:t xml:space="preserve"> רע"פ 10141/09 </w:t>
      </w:r>
      <w:r>
        <w:rPr>
          <w:rFonts w:ascii="Times New Roman" w:cs="David" w:eastAsia="David" w:hAnsi="Times New Roman"/>
          <w:b/>
          <w:bCs/>
          <w:sz w:val="20"/>
          <w:szCs w:val="20"/>
          <w:rtl/>
        </w:rPr>
        <w:t xml:space="preserve">בן חיים נ' מדינת ישראל</w:t>
      </w:r>
      <w:r>
        <w:rPr>
          <w:rFonts w:ascii="Times New Roman" w:cs="David" w:eastAsia="David" w:hAnsi="Times New Roman"/>
          <w:sz w:val="20"/>
          <w:szCs w:val="20"/>
          <w:rtl/>
        </w:rPr>
        <w:t xml:space="preserve">, פ"ד סה(3) 305, 330 (2012).</w:t>
      </w:r>
    </w:p>
  </w:footnote>
  <w:footnote w:id="84">
    <w:p>
      <w:pPr>
        <w:bidi/>
        <w:spacing w:after="40" w:line="240"/>
        <w:jc w:val="both"/>
      </w:pPr>
      <w:r>
        <w:rPr>
          <w:rStyle w:val="FootnoteReference"/>
        </w:rPr>
        <w:footnoteRef/>
      </w:r>
      <w:r>
        <w:rPr>
          <w:rFonts w:ascii="Times New Roman" w:cs="David" w:eastAsia="David" w:hAnsi="Times New Roman"/>
          <w:sz w:val="20"/>
          <w:szCs w:val="20"/>
          <w:rtl/>
        </w:rPr>
        <w:t xml:space="preserve"> איתי הרמלין "אומרים הסכמה (לחיפוש) יש בעולם. מה זאת הסכמה?" </w:t>
      </w:r>
      <w:r>
        <w:rPr>
          <w:rFonts w:ascii="Times New Roman" w:cs="David" w:eastAsia="David" w:hAnsi="Times New Roman"/>
          <w:b/>
          <w:bCs/>
          <w:sz w:val="20"/>
          <w:szCs w:val="20"/>
          <w:rtl/>
        </w:rPr>
        <w:t xml:space="preserve">75 שנות עצמאות במשפט</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[עורכים]</w:t>
      </w:r>
      <w:r>
        <w:rPr>
          <w:rFonts w:ascii="Times New Roman" w:cs="David" w:eastAsia="David" w:hAnsi="Times New Roman"/>
          <w:sz w:val="20"/>
          <w:szCs w:val="20"/>
          <w:rtl w:val="false"/>
        </w:rPr>
        <w:t xml:space="preserve">, 2023).</w:t>
      </w:r>
    </w:p>
  </w:footnote>
  <w:footnote w:id="85">
    <w:p>
      <w:pPr>
        <w:bidi/>
        <w:spacing w:after="40" w:line="240"/>
        <w:jc w:val="both"/>
      </w:pPr>
      <w:r>
        <w:rPr>
          <w:rStyle w:val="FootnoteReference"/>
        </w:rPr>
        <w:footnoteRef/>
      </w:r>
      <w:r>
        <w:rPr>
          <w:rFonts w:ascii="Times New Roman" w:cs="David" w:eastAsia="David" w:hAnsi="Times New Roman"/>
          <w:sz w:val="20"/>
          <w:szCs w:val="20"/>
          <w:rtl/>
        </w:rPr>
        <w:t xml:space="preserve"> הרדוף </w:t>
      </w:r>
      <w:r>
        <w:rPr>
          <w:rFonts w:ascii="Times New Roman" w:cs="David" w:eastAsia="David" w:hAnsi="Times New Roman"/>
          <w:b/>
          <w:bCs/>
          <w:sz w:val="20"/>
          <w:szCs w:val="20"/>
          <w:rtl/>
        </w:rPr>
        <w:t xml:space="preserve">סדר הדין הפלילי</w:t>
      </w:r>
      <w:r>
        <w:rPr>
          <w:rFonts w:ascii="Times New Roman" w:cs="David" w:eastAsia="David" w:hAnsi="Times New Roman"/>
          <w:sz w:val="20"/>
          <w:szCs w:val="20"/>
          <w:rtl/>
        </w:rPr>
        <w:t xml:space="preserve">, לעיל ה"ש 76.</w:t>
      </w:r>
    </w:p>
  </w:footnote>
  <w:footnote w:id="86">
    <w:p>
      <w:pPr>
        <w:bidi/>
        <w:spacing w:after="40" w:line="240"/>
        <w:jc w:val="both"/>
      </w:pPr>
      <w:r>
        <w:rPr>
          <w:rStyle w:val="FootnoteReference"/>
        </w:rPr>
        <w:footnoteRef/>
      </w:r>
      <w:r>
        <w:rPr>
          <w:rFonts w:ascii="Times New Roman" w:cs="David" w:eastAsia="David" w:hAnsi="Times New Roman"/>
          <w:sz w:val="20"/>
          <w:szCs w:val="20"/>
          <w:rtl/>
        </w:rPr>
        <w:t xml:space="preserve"> ס' 2 לחוק החזקת תעודת זהות והצגתה, התשמ"ג–1982.</w:t>
      </w:r>
    </w:p>
  </w:footnote>
  <w:footnote w:id="87">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טבקה</w:t>
      </w:r>
      <w:r>
        <w:rPr>
          <w:rFonts w:ascii="Times New Roman" w:cs="David" w:eastAsia="David" w:hAnsi="Times New Roman"/>
          <w:sz w:val="20"/>
          <w:szCs w:val="20"/>
          <w:rtl/>
        </w:rPr>
        <w:t xml:space="preserve">, לעיל ה"ש 21, פס' 31, 34 לפסק דינה של הנשיאה חיות.</w:t>
      </w:r>
    </w:p>
  </w:footnote>
  <w:footnote w:id="88">
    <w:p>
      <w:pPr>
        <w:bidi/>
        <w:spacing w:after="40" w:line="240"/>
        <w:jc w:val="both"/>
      </w:pPr>
      <w:r>
        <w:rPr>
          <w:rStyle w:val="FootnoteReference"/>
        </w:rPr>
        <w:footnoteRef/>
      </w:r>
      <w:r>
        <w:rPr>
          <w:rFonts w:ascii="Times New Roman" w:cs="David" w:eastAsia="David" w:hAnsi="Times New Roman"/>
          <w:sz w:val="20"/>
          <w:szCs w:val="20"/>
          <w:rtl/>
        </w:rPr>
        <w:t xml:space="preserve"> דנג"ץ 2707/21 </w:t>
      </w:r>
      <w:r>
        <w:rPr>
          <w:rFonts w:ascii="Times New Roman" w:cs="David" w:eastAsia="David" w:hAnsi="Times New Roman"/>
          <w:b/>
          <w:bCs/>
          <w:sz w:val="20"/>
          <w:szCs w:val="20"/>
          <w:rtl/>
        </w:rPr>
        <w:t xml:space="preserve">משטרת ישראל נ' עמותת טבקה – צדק ושוויון ליוצאי אתיופיה</w:t>
      </w:r>
      <w:r>
        <w:rPr>
          <w:rFonts w:ascii="Times New Roman" w:cs="David" w:eastAsia="David" w:hAnsi="Times New Roman"/>
          <w:sz w:val="20"/>
          <w:szCs w:val="20"/>
          <w:rtl/>
        </w:rPr>
        <w:t xml:space="preserve">, פס' 14-11 (נבו 29.12.2021).</w:t>
      </w:r>
    </w:p>
  </w:footnote>
  <w:footnote w:id="89">
    <w:p>
      <w:pPr>
        <w:bidi/>
        <w:spacing w:after="40" w:line="240"/>
        <w:jc w:val="both"/>
      </w:pPr>
      <w:r>
        <w:rPr>
          <w:rStyle w:val="FootnoteReference"/>
        </w:rPr>
        <w:footnoteRef/>
      </w:r>
      <w:r>
        <w:rPr>
          <w:rFonts w:ascii="Times New Roman" w:cs="David" w:eastAsia="David" w:hAnsi="Times New Roman"/>
          <w:sz w:val="20"/>
          <w:szCs w:val="20"/>
          <w:rtl/>
        </w:rPr>
        <w:t xml:space="preserve"> שם, פס' 16-14.</w:t>
      </w:r>
    </w:p>
  </w:footnote>
  <w:footnote w:id="90">
    <w:p>
      <w:pPr>
        <w:bidi/>
        <w:spacing w:after="40" w:line="240"/>
        <w:jc w:val="both"/>
      </w:pPr>
      <w:r>
        <w:rPr>
          <w:rStyle w:val="FootnoteReference"/>
        </w:rPr>
        <w:footnoteRef/>
      </w:r>
      <w:r>
        <w:rPr>
          <w:rFonts w:ascii="Times New Roman" w:cs="David" w:eastAsia="David" w:hAnsi="Times New Roman"/>
          <w:sz w:val="20"/>
          <w:szCs w:val="20"/>
          <w:rtl/>
        </w:rPr>
        <w:t xml:space="preserve"> בג"ץ 244/23 </w:t>
      </w:r>
      <w:r>
        <w:rPr>
          <w:rFonts w:ascii="Times New Roman" w:cs="David" w:eastAsia="David" w:hAnsi="Times New Roman"/>
          <w:b/>
          <w:bCs/>
          <w:sz w:val="20"/>
          <w:szCs w:val="20"/>
          <w:rtl/>
        </w:rPr>
        <w:t xml:space="preserve">האגודה לזכויות האזרח בישראל נ' משטרת ישראל</w:t>
      </w:r>
      <w:r>
        <w:rPr>
          <w:rFonts w:ascii="Times New Roman" w:cs="David" w:eastAsia="David" w:hAnsi="Times New Roman"/>
          <w:sz w:val="20"/>
          <w:szCs w:val="20"/>
          <w:rtl/>
        </w:rPr>
        <w:t xml:space="preserve"> (נבו 14.12.2025).</w:t>
      </w:r>
    </w:p>
  </w:footnote>
  <w:footnote w:id="91">
    <w:p>
      <w:pPr>
        <w:bidi/>
        <w:spacing w:after="40" w:line="240"/>
        <w:jc w:val="both"/>
      </w:pPr>
      <w:r>
        <w:rPr>
          <w:rStyle w:val="FootnoteReference"/>
        </w:rPr>
        <w:footnoteRef/>
      </w:r>
      <w:r>
        <w:rPr>
          <w:rFonts w:ascii="Times New Roman" w:cs="David" w:eastAsia="David" w:hAnsi="Times New Roman"/>
          <w:sz w:val="20"/>
          <w:szCs w:val="20"/>
          <w:rtl/>
        </w:rPr>
        <w:t xml:space="preserve"> אפרת פודם, אסף דרעי ושיר טולדנו "אם לא תמחק יבוא שוטר: דמותו של השוטר בחברה בראי מגמת תביעות הדיבה מצד שוטרים" </w:t>
      </w:r>
      <w:r>
        <w:rPr>
          <w:rFonts w:ascii="Times New Roman" w:cs="David" w:eastAsia="David" w:hAnsi="Times New Roman"/>
          <w:b/>
          <w:bCs/>
          <w:sz w:val="20"/>
          <w:szCs w:val="20"/>
          <w:rtl/>
        </w:rPr>
        <w:t xml:space="preserve">מעשי משפט</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(2023).</w:t>
      </w:r>
    </w:p>
  </w:footnote>
  <w:footnote w:id="92">
    <w:p>
      <w:pPr>
        <w:bidi/>
        <w:spacing w:after="40" w:line="240"/>
        <w:jc w:val="both"/>
      </w:pPr>
      <w:r>
        <w:rPr>
          <w:rStyle w:val="FootnoteReference"/>
        </w:rPr>
        <w:footnoteRef/>
      </w:r>
      <w:r>
        <w:rPr>
          <w:rFonts w:ascii="Times New Roman" w:cs="David" w:eastAsia="David" w:hAnsi="Times New Roman"/>
          <w:sz w:val="20"/>
          <w:szCs w:val="20"/>
          <w:rtl/>
        </w:rPr>
        <w:t xml:space="preserve"> דרומי, לעיל ה"ש 20, בעמ' 234.</w:t>
      </w:r>
    </w:p>
  </w:footnote>
  <w:footnote w:id="93">
    <w:p>
      <w:pPr>
        <w:bidi/>
        <w:spacing w:after="40" w:line="240"/>
        <w:jc w:val="both"/>
      </w:pPr>
      <w:r>
        <w:rPr>
          <w:rStyle w:val="FootnoteReference"/>
        </w:rPr>
        <w:footnoteRef/>
      </w:r>
      <w:r>
        <w:rPr>
          <w:rFonts w:ascii="Times New Roman" w:cs="David" w:eastAsia="David" w:hAnsi="Times New Roman"/>
          <w:sz w:val="20"/>
          <w:szCs w:val="20"/>
          <w:rtl/>
        </w:rPr>
        <w:t xml:space="preserve"> אהרן ברק "המשטרה וזכויות האזרח" (הרצאה ביום עיון בנושא: זכויות האזרח ואכיפת החוק במסגרת שבוע המשטרה וזכויות האזרח, 1986), כמובא אצל דרומי, לעיל ה"ש 20, בעמ' 234.</w:t>
      </w:r>
    </w:p>
  </w:footnote>
  <w:footnote w:id="94">
    <w:p>
      <w:pPr>
        <w:bidi/>
        <w:spacing w:after="40" w:line="240"/>
        <w:jc w:val="both"/>
      </w:pPr>
      <w:r>
        <w:rPr>
          <w:rStyle w:val="FootnoteReference"/>
        </w:rPr>
        <w:footnoteRef/>
      </w:r>
      <w:r>
        <w:rPr>
          <w:rFonts w:ascii="Times New Roman" w:cs="David" w:eastAsia="David" w:hAnsi="Times New Roman"/>
          <w:sz w:val="20"/>
          <w:szCs w:val="20"/>
          <w:rtl/>
        </w:rPr>
        <w:t xml:space="preserve"> אסף הרדוף "זכות מפלה ופריווילגיות של מדינה: חיסיון לטובת הציבור ונסיגה לטובת התקפה" </w:t>
      </w:r>
      <w:r>
        <w:rPr>
          <w:rFonts w:ascii="Times New Roman" w:cs="David" w:eastAsia="David" w:hAnsi="Times New Roman"/>
          <w:b/>
          <w:bCs/>
          <w:sz w:val="20"/>
          <w:szCs w:val="20"/>
          <w:rtl/>
        </w:rPr>
        <w:t xml:space="preserve">מחקרי משפט</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[כרך]</w:t>
      </w:r>
      <w:r>
        <w:rPr>
          <w:rFonts w:ascii="Times New Roman" w:cs="David" w:eastAsia="David" w:hAnsi="Times New Roman"/>
          <w:sz w:val="20"/>
          <w:szCs w:val="20"/>
          <w:rtl w:val="false"/>
        </w:rPr>
        <w:t xml:space="preserve"> </w:t>
      </w:r>
      <w:r>
        <w:rPr>
          <w:rFonts w:ascii="Times New Roman" w:cs="David" w:eastAsia="David" w:hAnsi="Times New Roman"/>
          <w:sz w:val="20"/>
          <w:szCs w:val="20"/>
          <w:shd w:fill="FFF200" w:color="auto" w:val="clear"/>
          <w:rtl/>
        </w:rPr>
        <w:t xml:space="preserve">[עמוד]</w:t>
      </w:r>
      <w:r>
        <w:rPr>
          <w:rFonts w:ascii="Times New Roman" w:cs="David" w:eastAsia="David" w:hAnsi="Times New Roman"/>
          <w:sz w:val="20"/>
          <w:szCs w:val="20"/>
          <w:rtl w:val="false"/>
        </w:rPr>
        <w:t xml:space="preserve"> (2023).</w:t>
      </w:r>
    </w:p>
  </w:footnote>
  <w:footnote w:id="95">
    <w:p>
      <w:pPr>
        <w:bidi/>
        <w:spacing w:after="40" w:line="240"/>
        <w:jc w:val="both"/>
      </w:pPr>
      <w:r>
        <w:rPr>
          <w:rStyle w:val="FootnoteReference"/>
        </w:rPr>
        <w:footnoteRef/>
      </w:r>
      <w:r>
        <w:rPr>
          <w:rFonts w:ascii="Times New Roman" w:cs="David" w:eastAsia="David" w:hAnsi="Times New Roman"/>
          <w:sz w:val="20"/>
          <w:szCs w:val="20"/>
          <w:rtl/>
        </w:rPr>
        <w:t xml:space="preserve"> דפנה ברק-ארז </w:t>
      </w:r>
      <w:r>
        <w:rPr>
          <w:rFonts w:ascii="Times New Roman" w:cs="David" w:eastAsia="David" w:hAnsi="Times New Roman"/>
          <w:b/>
          <w:bCs/>
          <w:sz w:val="20"/>
          <w:szCs w:val="20"/>
          <w:rtl/>
        </w:rPr>
        <w:t xml:space="preserve">משפט מינהלי</w:t>
      </w:r>
      <w:r>
        <w:rPr>
          <w:rFonts w:ascii="Times New Roman" w:cs="David" w:eastAsia="David" w:hAnsi="Times New Roman"/>
          <w:sz w:val="20"/>
          <w:szCs w:val="20"/>
          <w:rtl/>
        </w:rPr>
        <w:t xml:space="preserve"> כרך א 573 (2010); בג"ץ 64/91 </w:t>
      </w:r>
      <w:r>
        <w:rPr>
          <w:rFonts w:ascii="Times New Roman" w:cs="David" w:eastAsia="David" w:hAnsi="Times New Roman"/>
          <w:b/>
          <w:bCs/>
          <w:sz w:val="20"/>
          <w:szCs w:val="20"/>
          <w:rtl/>
        </w:rPr>
        <w:t xml:space="preserve">חילף נ' משטרת ישראל</w:t>
      </w:r>
      <w:r>
        <w:rPr>
          <w:rFonts w:ascii="Times New Roman" w:cs="David" w:eastAsia="David" w:hAnsi="Times New Roman"/>
          <w:sz w:val="20"/>
          <w:szCs w:val="20"/>
          <w:rtl/>
        </w:rPr>
        <w:t xml:space="preserve">, פ"ד מז(5) 653 (1993).</w:t>
      </w:r>
    </w:p>
  </w:footnote>
  <w:footnote w:id="96">
    <w:p>
      <w:pPr>
        <w:bidi/>
        <w:spacing w:after="40" w:line="240"/>
        <w:jc w:val="both"/>
      </w:pPr>
      <w:r>
        <w:rPr>
          <w:rStyle w:val="FootnoteReference"/>
        </w:rPr>
        <w:footnoteRef/>
      </w:r>
      <w:r>
        <w:rPr>
          <w:rFonts w:ascii="Times New Roman" w:cs="David" w:eastAsia="David" w:hAnsi="Times New Roman"/>
          <w:sz w:val="20"/>
          <w:szCs w:val="20"/>
          <w:rtl/>
        </w:rPr>
        <w:t xml:space="preserve"> ברק-ארז, לעיל ה"ש 95, בעמ' 574.</w:t>
      </w:r>
    </w:p>
  </w:footnote>
  <w:footnote w:id="97">
    <w:p>
      <w:pPr>
        <w:bidi/>
        <w:spacing w:after="40" w:line="240"/>
        <w:jc w:val="both"/>
      </w:pPr>
      <w:r>
        <w:rPr>
          <w:rStyle w:val="FootnoteReference"/>
        </w:rPr>
        <w:footnoteRef/>
      </w:r>
      <w:r>
        <w:rPr>
          <w:rFonts w:ascii="Times New Roman" w:cs="David" w:eastAsia="David" w:hAnsi="Times New Roman"/>
          <w:sz w:val="20"/>
          <w:szCs w:val="20"/>
          <w:rtl/>
        </w:rPr>
        <w:t xml:space="preserve"> פורום המרצות והמרצים, לעיל ה"ש 9, בעמ' 593.</w:t>
      </w:r>
    </w:p>
  </w:footnote>
  <w:footnote w:id="98">
    <w:p>
      <w:pPr>
        <w:bidi/>
        <w:spacing w:after="40" w:line="240"/>
        <w:jc w:val="both"/>
      </w:pPr>
      <w:r>
        <w:rPr>
          <w:rStyle w:val="FootnoteReference"/>
        </w:rPr>
        <w:footnoteRef/>
      </w:r>
      <w:r>
        <w:rPr>
          <w:rFonts w:ascii="Times New Roman" w:cs="David" w:eastAsia="David" w:hAnsi="Times New Roman"/>
          <w:sz w:val="20"/>
          <w:szCs w:val="20"/>
          <w:rtl/>
        </w:rPr>
        <w:t xml:space="preserve"> סגל, לעיל ה"ש 29, בעמ' 156.</w:t>
      </w:r>
    </w:p>
  </w:footnote>
  <w:footnote w:id="99">
    <w:p>
      <w:pPr>
        <w:bidi/>
        <w:spacing w:after="40" w:line="240"/>
        <w:jc w:val="both"/>
      </w:pPr>
      <w:r>
        <w:rPr>
          <w:rStyle w:val="FootnoteReference"/>
        </w:rPr>
        <w:footnoteRef/>
      </w:r>
      <w:r>
        <w:rPr>
          <w:rFonts w:ascii="Times New Roman" w:cs="David" w:eastAsia="David" w:hAnsi="Times New Roman"/>
          <w:sz w:val="20"/>
          <w:szCs w:val="20"/>
          <w:rtl/>
        </w:rPr>
        <w:t xml:space="preserve"> שם, בעמ' 112.</w:t>
      </w:r>
    </w:p>
  </w:footnote>
  <w:footnote w:id="100">
    <w:p>
      <w:pPr>
        <w:bidi/>
        <w:spacing w:after="40" w:line="240"/>
        <w:jc w:val="both"/>
      </w:pPr>
      <w:r>
        <w:rPr>
          <w:rStyle w:val="FootnoteReference"/>
        </w:rPr>
        <w:footnoteRef/>
      </w:r>
      <w:r>
        <w:rPr>
          <w:rFonts w:ascii="Times New Roman" w:cs="David" w:eastAsia="David" w:hAnsi="Times New Roman"/>
          <w:sz w:val="20"/>
          <w:szCs w:val="20"/>
          <w:rtl/>
        </w:rPr>
        <w:t xml:space="preserve"> ס' 3 לחוק הנזיקים האזרחיים (אחריות המדינה), התשי"ב–1952.</w:t>
      </w:r>
    </w:p>
  </w:footnote>
  <w:footnote w:id="101">
    <w:p>
      <w:pPr>
        <w:bidi/>
        <w:spacing w:after="40" w:line="240"/>
        <w:jc w:val="both"/>
      </w:pPr>
      <w:r>
        <w:rPr>
          <w:rStyle w:val="FootnoteReference"/>
        </w:rPr>
        <w:footnoteRef/>
      </w:r>
      <w:r>
        <w:rPr>
          <w:rFonts w:ascii="Times New Roman" w:cs="David" w:eastAsia="David" w:hAnsi="Times New Roman"/>
          <w:sz w:val="20"/>
          <w:szCs w:val="20"/>
          <w:rtl/>
        </w:rPr>
        <w:t xml:space="preserve"> סגל, לעיל ה"ש 29, בעמ' 141.</w:t>
      </w:r>
    </w:p>
  </w:footnote>
  <w:footnote w:id="102">
    <w:p>
      <w:pPr>
        <w:bidi/>
        <w:spacing w:after="40" w:line="240"/>
        <w:jc w:val="both"/>
      </w:pPr>
      <w:r>
        <w:rPr>
          <w:rStyle w:val="FootnoteReference"/>
        </w:rPr>
        <w:footnoteRef/>
      </w:r>
      <w:r>
        <w:rPr>
          <w:rFonts w:ascii="Times New Roman" w:cs="David" w:eastAsia="David" w:hAnsi="Times New Roman"/>
          <w:sz w:val="20"/>
          <w:szCs w:val="20"/>
          <w:rtl/>
        </w:rPr>
        <w:t xml:space="preserve"> ע"א 2394/18 </w:t>
      </w:r>
      <w:r>
        <w:rPr>
          <w:rFonts w:ascii="Times New Roman" w:cs="David" w:eastAsia="David" w:hAnsi="Times New Roman"/>
          <w:b/>
          <w:bCs/>
          <w:sz w:val="20"/>
          <w:szCs w:val="20"/>
          <w:rtl/>
        </w:rPr>
        <w:t xml:space="preserve">פלונים נ' משטרת ישראל</w:t>
      </w:r>
      <w:r>
        <w:rPr>
          <w:rFonts w:ascii="Times New Roman" w:cs="David" w:eastAsia="David" w:hAnsi="Times New Roman"/>
          <w:sz w:val="20"/>
          <w:szCs w:val="20"/>
          <w:rtl/>
        </w:rPr>
        <w:t xml:space="preserve"> (נבו 10.4.2019); סגל, לעיל ה"ש 29, בעמ' 209.</w:t>
      </w:r>
    </w:p>
  </w:footnote>
  <w:footnote w:id="103">
    <w:p>
      <w:pPr>
        <w:bidi/>
        <w:spacing w:after="40" w:line="240"/>
        <w:jc w:val="both"/>
      </w:pPr>
      <w:r>
        <w:rPr>
          <w:rStyle w:val="FootnoteReference"/>
        </w:rPr>
        <w:footnoteRef/>
      </w:r>
      <w:r>
        <w:rPr>
          <w:rFonts w:ascii="Times New Roman" w:cs="David" w:eastAsia="David" w:hAnsi="Times New Roman"/>
          <w:sz w:val="20"/>
          <w:szCs w:val="20"/>
          <w:rtl/>
        </w:rPr>
        <w:t xml:space="preserve"> ע"א 3580/06 </w:t>
      </w:r>
      <w:r>
        <w:rPr>
          <w:rFonts w:ascii="Times New Roman" w:cs="David" w:eastAsia="David" w:hAnsi="Times New Roman"/>
          <w:b/>
          <w:bCs/>
          <w:sz w:val="20"/>
          <w:szCs w:val="20"/>
          <w:rtl/>
        </w:rPr>
        <w:t xml:space="preserve">עזבון יוסף נ' מדינת ישראל</w:t>
      </w:r>
      <w:r>
        <w:rPr>
          <w:rFonts w:ascii="Times New Roman" w:cs="David" w:eastAsia="David" w:hAnsi="Times New Roman"/>
          <w:sz w:val="20"/>
          <w:szCs w:val="20"/>
          <w:rtl/>
        </w:rPr>
        <w:t xml:space="preserve">, פס' 89 (נבו 21.3.2011); ע"א 1678/01 </w:t>
      </w:r>
      <w:r>
        <w:rPr>
          <w:rFonts w:ascii="Times New Roman" w:cs="David" w:eastAsia="David" w:hAnsi="Times New Roman"/>
          <w:b/>
          <w:bCs/>
          <w:sz w:val="20"/>
          <w:szCs w:val="20"/>
          <w:rtl/>
        </w:rPr>
        <w:t xml:space="preserve">מדינת ישראל נ' וייס</w:t>
      </w:r>
      <w:r>
        <w:rPr>
          <w:rFonts w:ascii="Times New Roman" w:cs="David" w:eastAsia="David" w:hAnsi="Times New Roman"/>
          <w:sz w:val="20"/>
          <w:szCs w:val="20"/>
          <w:rtl/>
        </w:rPr>
        <w:t xml:space="preserve">, פ"ד נח(5) 167, 181 (2004).</w:t>
      </w:r>
    </w:p>
  </w:footnote>
  <w:footnote w:id="104">
    <w:p>
      <w:pPr>
        <w:bidi/>
        <w:spacing w:after="40" w:line="240"/>
        <w:jc w:val="both"/>
      </w:pPr>
      <w:r>
        <w:rPr>
          <w:rStyle w:val="FootnoteReference"/>
        </w:rPr>
        <w:footnoteRef/>
      </w:r>
      <w:r>
        <w:rPr>
          <w:rFonts w:ascii="Times New Roman" w:cs="David" w:eastAsia="David" w:hAnsi="Times New Roman"/>
          <w:sz w:val="20"/>
          <w:szCs w:val="20"/>
          <w:rtl/>
        </w:rPr>
        <w:t xml:space="preserve"> עניין </w:t>
      </w:r>
      <w:r>
        <w:rPr>
          <w:rFonts w:ascii="Times New Roman" w:cs="David" w:eastAsia="David" w:hAnsi="Times New Roman"/>
          <w:b/>
          <w:bCs/>
          <w:sz w:val="20"/>
          <w:szCs w:val="20"/>
          <w:rtl/>
        </w:rPr>
        <w:t xml:space="preserve">יוסף</w:t>
      </w:r>
      <w:r>
        <w:rPr>
          <w:rFonts w:ascii="Times New Roman" w:cs="David" w:eastAsia="David" w:hAnsi="Times New Roman"/>
          <w:sz w:val="20"/>
          <w:szCs w:val="20"/>
          <w:rtl/>
        </w:rPr>
        <w:t xml:space="preserve">, לעיל ה"ש 103, פס' 87.</w:t>
      </w:r>
    </w:p>
  </w:footnote>
  <w:footnote w:id="105">
    <w:p>
      <w:pPr>
        <w:bidi/>
        <w:spacing w:after="40" w:line="240"/>
        <w:jc w:val="both"/>
      </w:pPr>
      <w:r>
        <w:rPr>
          <w:rStyle w:val="FootnoteReference"/>
        </w:rPr>
        <w:footnoteRef/>
      </w:r>
      <w:r>
        <w:rPr>
          <w:rFonts w:ascii="Times New Roman" w:cs="David" w:eastAsia="David" w:hAnsi="Times New Roman"/>
          <w:sz w:val="20"/>
          <w:szCs w:val="20"/>
          <w:rtl/>
        </w:rPr>
        <w:t xml:space="preserve"> גלעד, לעיל ה"ש 32, בעמ' 1062.</w:t>
      </w:r>
    </w:p>
  </w:footnote>
  <w:footnote w:id="106">
    <w:p>
      <w:pPr>
        <w:bidi/>
        <w:spacing w:after="40" w:line="240"/>
        <w:jc w:val="both"/>
      </w:pPr>
      <w:r>
        <w:rPr>
          <w:rStyle w:val="FootnoteReference"/>
        </w:rPr>
        <w:footnoteRef/>
      </w:r>
      <w:r>
        <w:rPr>
          <w:rFonts w:ascii="Times New Roman" w:cs="David" w:eastAsia="David" w:hAnsi="Times New Roman"/>
          <w:sz w:val="20"/>
          <w:szCs w:val="20"/>
          <w:rtl/>
        </w:rPr>
        <w:t xml:space="preserve"> דרומי, לעיל ה"ש 20, בעמ' 227.</w:t>
      </w:r>
    </w:p>
  </w:footnote>
  <w:footnote w:id="107">
    <w:p>
      <w:pPr>
        <w:bidi/>
        <w:spacing w:after="40" w:line="240"/>
        <w:jc w:val="both"/>
      </w:pPr>
      <w:r>
        <w:rPr>
          <w:rStyle w:val="FootnoteReference"/>
        </w:rPr>
        <w:footnoteRef/>
      </w:r>
      <w:r>
        <w:rPr>
          <w:rFonts w:ascii="Times New Roman" w:cs="David" w:eastAsia="David" w:hAnsi="Times New Roman"/>
          <w:sz w:val="20"/>
          <w:szCs w:val="20"/>
          <w:rtl/>
        </w:rPr>
        <w:t xml:space="preserve"> אהרן ברק </w:t>
      </w:r>
      <w:r>
        <w:rPr>
          <w:rFonts w:ascii="Times New Roman" w:cs="David" w:eastAsia="David" w:hAnsi="Times New Roman"/>
          <w:b/>
          <w:bCs/>
          <w:sz w:val="20"/>
          <w:szCs w:val="20"/>
          <w:rtl/>
        </w:rPr>
        <w:t xml:space="preserve">פרשנות במשפט</w:t>
      </w:r>
      <w:r>
        <w:rPr>
          <w:rFonts w:ascii="Times New Roman" w:cs="David" w:eastAsia="David" w:hAnsi="Times New Roman"/>
          <w:sz w:val="20"/>
          <w:szCs w:val="20"/>
          <w:rtl/>
        </w:rPr>
        <w:t xml:space="preserve"> כרך ג: פרשנות חוקתית 777 (1994).</w:t>
      </w:r>
    </w:p>
  </w:footnote>
  <w:footnote w:id="108">
    <w:p>
      <w:pPr>
        <w:bidi/>
        <w:spacing w:after="40" w:line="240"/>
        <w:jc w:val="both"/>
      </w:pPr>
      <w:r>
        <w:rPr>
          <w:rStyle w:val="FootnoteReference"/>
        </w:rPr>
        <w:footnoteRef/>
      </w:r>
      <w:r>
        <w:rPr>
          <w:rFonts w:ascii="Times New Roman" w:cs="David" w:eastAsia="David" w:hAnsi="Times New Roman"/>
          <w:sz w:val="20"/>
          <w:szCs w:val="20"/>
          <w:rtl/>
        </w:rPr>
        <w:t xml:space="preserve"> שם, בעמ' 786-784.</w:t>
      </w:r>
    </w:p>
  </w:footnote>
  <w:footnote w:id="109">
    <w:p>
      <w:pPr>
        <w:bidi/>
        <w:spacing w:after="40" w:line="240"/>
        <w:jc w:val="both"/>
      </w:pPr>
      <w:r>
        <w:rPr>
          <w:rStyle w:val="FootnoteReference"/>
        </w:rPr>
        <w:footnoteRef/>
      </w:r>
      <w:r>
        <w:rPr>
          <w:rFonts w:ascii="Times New Roman" w:cs="David" w:eastAsia="David" w:hAnsi="Times New Roman"/>
          <w:sz w:val="20"/>
          <w:szCs w:val="20"/>
          <w:rtl/>
        </w:rPr>
        <w:t xml:space="preserve"> ע"א 337/81 </w:t>
      </w:r>
      <w:r>
        <w:rPr>
          <w:rFonts w:ascii="Times New Roman" w:cs="David" w:eastAsia="David" w:hAnsi="Times New Roman"/>
          <w:b/>
          <w:bCs/>
          <w:sz w:val="20"/>
          <w:szCs w:val="20"/>
          <w:rtl/>
        </w:rPr>
        <w:t xml:space="preserve">בוסקילה נ' מדינת ישראל</w:t>
      </w:r>
      <w:r>
        <w:rPr>
          <w:rFonts w:ascii="Times New Roman" w:cs="David" w:eastAsia="David" w:hAnsi="Times New Roman"/>
          <w:sz w:val="20"/>
          <w:szCs w:val="20"/>
          <w:rtl/>
        </w:rPr>
        <w:t xml:space="preserve">, פ"ד לח(3) 337 (1984); סגל, לעיל ה"ש 29, בעמ' 196.</w:t>
      </w:r>
    </w:p>
  </w:footnote>
  <w:footnote w:id="110">
    <w:p>
      <w:pPr>
        <w:bidi/>
        <w:spacing w:after="40" w:line="240"/>
        <w:jc w:val="both"/>
      </w:pPr>
      <w:r>
        <w:rPr>
          <w:rStyle w:val="FootnoteReference"/>
        </w:rPr>
        <w:footnoteRef/>
      </w:r>
      <w:r>
        <w:rPr>
          <w:rFonts w:ascii="Times New Roman" w:cs="David" w:eastAsia="David" w:hAnsi="Times New Roman"/>
          <w:sz w:val="20"/>
          <w:szCs w:val="20"/>
          <w:rtl/>
        </w:rPr>
        <w:t xml:space="preserve"> דרומי, לעיל ה"ש 20, בעמ' 234.</w:t>
      </w:r>
    </w:p>
  </w:footnote>
  <w:footnote w:id="111">
    <w:p>
      <w:pPr>
        <w:bidi/>
        <w:spacing w:after="40" w:line="240"/>
        <w:jc w:val="both"/>
      </w:pPr>
      <w:r>
        <w:rPr>
          <w:rStyle w:val="FootnoteReference"/>
        </w:rPr>
        <w:footnoteRef/>
      </w:r>
      <w:r>
        <w:rPr>
          <w:rFonts w:ascii="Times New Roman" w:cs="David" w:eastAsia="David" w:hAnsi="Times New Roman"/>
          <w:sz w:val="20"/>
          <w:szCs w:val="20"/>
          <w:rtl/>
        </w:rPr>
        <w:t xml:space="preserve"> פורום המרצות והמרצים, לעיל ה"ש 9, בעמ' 598.</w:t>
      </w:r>
    </w:p>
  </w:footnote>
  <w:footnote w:id="112">
    <w:p>
      <w:pPr>
        <w:bidi/>
        <w:spacing w:after="40" w:line="240"/>
        <w:jc w:val="both"/>
      </w:pPr>
      <w:r>
        <w:rPr>
          <w:rStyle w:val="FootnoteReference"/>
        </w:rPr>
        <w:footnoteRef/>
      </w:r>
      <w:r>
        <w:rPr>
          <w:rFonts w:ascii="Times New Roman" w:cs="David" w:eastAsia="David" w:hAnsi="Times New Roman"/>
          <w:sz w:val="20"/>
          <w:szCs w:val="20"/>
          <w:rtl/>
        </w:rPr>
        <w:t xml:space="preserve"> </w:t>
      </w:r>
      <w:r>
        <w:rPr>
          <w:rFonts w:ascii="Times New Roman" w:cs="David" w:eastAsia="David" w:hAnsi="Times New Roman"/>
          <w:sz w:val="20"/>
          <w:szCs w:val="20"/>
          <w:rtl w:val="false"/>
        </w:rPr>
        <w:t xml:space="preserve">Roach</w:t>
      </w:r>
      <w:r>
        <w:rPr>
          <w:rFonts w:ascii="Times New Roman" w:cs="David" w:eastAsia="David" w:hAnsi="Times New Roman"/>
          <w:sz w:val="20"/>
          <w:szCs w:val="20"/>
          <w:rtl/>
        </w:rPr>
        <w:t xml:space="preserve">, לעיל ה"ש 49, כמובא אצל פורום המרצות והמרצים, לעיל ה"ש 9, בעמ' 600.</w:t>
      </w:r>
    </w:p>
  </w:footnote>
  <w:footnote w:id="113">
    <w:p>
      <w:pPr>
        <w:bidi/>
        <w:spacing w:after="40" w:line="240"/>
        <w:jc w:val="both"/>
      </w:pPr>
      <w:r>
        <w:rPr>
          <w:rStyle w:val="FootnoteReference"/>
        </w:rPr>
        <w:footnoteRef/>
      </w:r>
      <w:r>
        <w:rPr>
          <w:rFonts w:ascii="Times New Roman" w:cs="David" w:eastAsia="David" w:hAnsi="Times New Roman"/>
          <w:sz w:val="20"/>
          <w:szCs w:val="20"/>
          <w:rtl/>
        </w:rPr>
        <w:t xml:space="preserve"> פורום המרצות והמרצים, לעיל ה"ש 9, בעמ' 603.</w:t>
      </w:r>
    </w:p>
  </w:footnote>
  <w:footnote w:id="114">
    <w:p>
      <w:pPr>
        <w:bidi/>
        <w:spacing w:after="40" w:line="240"/>
        <w:jc w:val="both"/>
      </w:pPr>
      <w:r>
        <w:rPr>
          <w:rStyle w:val="FootnoteReference"/>
        </w:rPr>
        <w:footnoteRef/>
      </w:r>
      <w:r>
        <w:rPr>
          <w:rFonts w:ascii="Times New Roman" w:cs="David" w:eastAsia="David" w:hAnsi="Times New Roman"/>
          <w:sz w:val="20"/>
          <w:szCs w:val="20"/>
          <w:rtl/>
        </w:rPr>
        <w:t xml:space="preserve"> הרדוף "ויתור, הידברות, בג"ץ", לעיל ה"ש 17, בעמ' 1849.</w:t>
      </w:r>
    </w:p>
  </w:footnote>
  <w:footnote w:id="115">
    <w:p>
      <w:pPr>
        <w:bidi/>
        <w:spacing w:after="40" w:line="240"/>
        <w:jc w:val="both"/>
      </w:pPr>
      <w:r>
        <w:rPr>
          <w:rStyle w:val="FootnoteReference"/>
        </w:rPr>
        <w:footnoteRef/>
      </w:r>
      <w:r>
        <w:rPr>
          <w:rFonts w:ascii="Times New Roman" w:cs="David" w:eastAsia="David" w:hAnsi="Times New Roman"/>
          <w:sz w:val="20"/>
          <w:szCs w:val="20"/>
          <w:rtl/>
        </w:rPr>
        <w:t xml:space="preserve"> קדוש נוסבאום, לעיל ה"ש 57, בעמ' 112.</w:t>
      </w:r>
    </w:p>
  </w:footnote>
  <w:footnote w:id="116">
    <w:p>
      <w:pPr>
        <w:bidi/>
        <w:spacing w:after="40" w:line="240"/>
        <w:jc w:val="both"/>
      </w:pPr>
      <w:r>
        <w:rPr>
          <w:rStyle w:val="FootnoteReference"/>
        </w:rPr>
        <w:footnoteRef/>
      </w:r>
      <w:r>
        <w:rPr>
          <w:rFonts w:ascii="Times New Roman" w:cs="David" w:eastAsia="David" w:hAnsi="Times New Roman"/>
          <w:sz w:val="20"/>
          <w:szCs w:val="20"/>
          <w:rtl/>
        </w:rPr>
        <w:t xml:space="preserve"> הרדוף "ויתור, הידברות, בג"ץ", לעיל ה"ש 17, בעמ' 1844.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outlineLvl w:val="0"/>
    </w:pPr>
    <w:rPr>
      <w:rFonts w:ascii="Times New Roman" w:cs="David" w:eastAsia="David" w:hAnsi="Times New Roman"/>
      <w:b/>
      <w:bCs/>
      <w:sz w:val="32"/>
      <w:szCs w:val="32"/>
    </w:rPr>
  </w:style>
  <w:style w:type="paragraph" w:styleId="Heading2">
    <w:name w:val="Heading 2"/>
    <w:basedOn w:val="Normal"/>
    <w:next w:val="Normal"/>
    <w:qFormat/>
    <w:pPr>
      <w:bidi/>
      <w:outlineLvl w:val="1"/>
    </w:pPr>
    <w:rPr>
      <w:rFonts w:ascii="Times New Roman" w:cs="David" w:eastAsia="David" w:hAnsi="Times New Roman"/>
      <w:b/>
      <w:bCs/>
      <w:sz w:val="28"/>
      <w:szCs w:val="28"/>
    </w:rPr>
  </w:style>
  <w:style w:type="paragraph" w:styleId="Heading3">
    <w:name w:val="Heading 3"/>
    <w:basedOn w:val="Normal"/>
    <w:next w:val="Normal"/>
    <w:qFormat/>
    <w:pPr>
      <w:bidi/>
      <w:outlineLvl w:val="2"/>
    </w:pPr>
    <w:rPr>
      <w:rFonts w:ascii="Times New Roman" w:cs="David" w:eastAsia="David"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2026-09-24T17:36:18.642Z</dcterms:created>
  <dcterms:modified xsi:type="dcterms:W3CDTF">2026-09-24T17:36:18.642Z</dcterms:modified>
</cp:coreProperties>
</file>

<file path=docProps/custom.xml><?xml version="1.0" encoding="utf-8"?>
<Properties xmlns="http://schemas.openxmlformats.org/officeDocument/2006/custom-properties" xmlns:vt="http://schemas.openxmlformats.org/officeDocument/2006/docPropsVTypes"/>
</file>