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0" w:before="0" w:line="360" w:lineRule="auto"/>
        <w:jc w:val="center"/>
      </w:pPr>
      <w:r>
        <w:rPr>
          <w:rFonts w:ascii="David" w:cs="David" w:eastAsia="David" w:hAnsi="David"/>
          <w:b/>
          <w:bCs/>
          <w:i w:val="false"/>
          <w:iCs w:val="false"/>
          <w:sz w:val="32"/>
          <w:szCs w:val="32"/>
          <w:rtl/>
        </w:rPr>
        <w:t xml:space="preserve">המכללה האקדמית הערבית לחינוך בישראל, חיפה</w:t>
      </w:r>
    </w:p>
    <w:p>
      <w:pPr>
        <w:bidi/>
        <w:spacing w:after="300" w:before="0" w:line="360" w:lineRule="auto"/>
        <w:jc w:val="both"/>
      </w:pPr>
      <w:r>
        <w:rPr>
          <w:rFonts w:ascii="David" w:cs="David" w:eastAsia="David" w:hAnsi="David"/>
          <w:b w:val="false"/>
          <w:bCs w:val="false"/>
          <w:i w:val="false"/>
          <w:iCs w:val="false"/>
          <w:sz w:val="28"/>
          <w:szCs w:val="28"/>
          <w:rtl/>
        </w:rPr>
        <w:t xml:space="preserve"/>
      </w:r>
    </w:p>
    <w:p>
      <w:pPr>
        <w:bidi/>
        <w:spacing w:after="200" w:before="0" w:line="360" w:lineRule="auto"/>
        <w:jc w:val="center"/>
      </w:pPr>
      <w:r>
        <w:rPr>
          <w:rFonts w:ascii="David" w:cs="David" w:eastAsia="David" w:hAnsi="David"/>
          <w:b/>
          <w:bCs/>
          <w:i w:val="false"/>
          <w:iCs w:val="false"/>
          <w:sz w:val="48"/>
          <w:szCs w:val="48"/>
          <w:rtl/>
        </w:rPr>
        <w:t xml:space="preserve">שְׁתִיקָה בְּעֶרֶב אֶחָד</w:t>
      </w:r>
    </w:p>
    <w:p>
      <w:pPr>
        <w:bidi/>
        <w:spacing w:after="120" w:before="0" w:line="360" w:lineRule="auto"/>
        <w:jc w:val="center"/>
      </w:pPr>
      <w:r>
        <w:rPr>
          <w:rFonts w:ascii="David" w:cs="David" w:eastAsia="David" w:hAnsi="David"/>
          <w:b/>
          <w:bCs/>
          <w:i w:val="false"/>
          <w:iCs w:val="false"/>
          <w:sz w:val="32"/>
          <w:szCs w:val="32"/>
          <w:rtl/>
        </w:rPr>
        <w:t xml:space="preserve">בדידות, אבל ותחליף טכנולוגי לקשר אנושי</w:t>
      </w:r>
    </w:p>
    <w:p>
      <w:pPr>
        <w:bidi/>
        <w:spacing w:after="120" w:before="0" w:line="360" w:lineRule="auto"/>
        <w:jc w:val="center"/>
      </w:pPr>
      <w:r>
        <w:rPr>
          <w:rFonts w:ascii="David" w:cs="David" w:eastAsia="David" w:hAnsi="David"/>
          <w:b/>
          <w:bCs/>
          <w:i w:val="false"/>
          <w:iCs w:val="false"/>
          <w:sz w:val="32"/>
          <w:szCs w:val="32"/>
          <w:rtl/>
        </w:rPr>
        <w:t xml:space="preserve">בסיפור "דוב קוטב" מאת אתגר קרת</w:t>
      </w:r>
    </w:p>
    <w:p>
      <w:pPr>
        <w:bidi/>
        <w:spacing w:after="300" w:before="0" w:line="360" w:lineRule="auto"/>
        <w:jc w:val="both"/>
      </w:pPr>
      <w:r>
        <w:rPr>
          <w:rFonts w:ascii="David" w:cs="David" w:eastAsia="David" w:hAnsi="David"/>
          <w:b w:val="false"/>
          <w:bCs w:val="false"/>
          <w:i w:val="false"/>
          <w:iCs w:val="false"/>
          <w:sz w:val="28"/>
          <w:szCs w:val="28"/>
          <w:rtl/>
        </w:rPr>
        <w:t xml:space="preserve"/>
      </w:r>
    </w:p>
    <w:p>
      <w:pPr>
        <w:bidi/>
        <w:spacing w:after="300" w:before="0" w:line="360" w:lineRule="auto"/>
        <w:jc w:val="both"/>
      </w:pPr>
      <w:r>
        <w:rPr>
          <w:rFonts w:ascii="David" w:cs="David" w:eastAsia="David" w:hAnsi="David"/>
          <w:b w:val="false"/>
          <w:bCs w:val="false"/>
          <w:i w:val="false"/>
          <w:iCs w:val="false"/>
          <w:sz w:val="28"/>
          <w:szCs w:val="28"/>
          <w:rtl/>
        </w:rPr>
        <w:t xml:space="preserve"/>
      </w:r>
    </w:p>
    <w:p>
      <w:pPr>
        <w:bidi/>
        <w:spacing w:after="200" w:before="0" w:line="360" w:lineRule="auto"/>
        <w:jc w:val="center"/>
      </w:pPr>
      <w:r>
        <w:rPr>
          <w:rFonts w:ascii="David" w:cs="David" w:eastAsia="David" w:hAnsi="David"/>
          <w:b/>
          <w:bCs/>
          <w:i w:val="false"/>
          <w:iCs w:val="false"/>
          <w:sz w:val="28"/>
          <w:szCs w:val="28"/>
          <w:rtl/>
        </w:rPr>
        <w:t xml:space="preserve">שם הקורס:  </w:t>
      </w:r>
      <w:r>
        <w:rPr>
          <w:rFonts w:ascii="David" w:cs="David" w:eastAsia="David" w:hAnsi="David"/>
          <w:b w:val="false"/>
          <w:bCs w:val="false"/>
          <w:i w:val="false"/>
          <w:iCs w:val="false"/>
          <w:sz w:val="28"/>
          <w:szCs w:val="28"/>
          <w:rtl/>
        </w:rPr>
        <w:t xml:space="preserve">_______________________</w:t>
      </w:r>
    </w:p>
    <w:p>
      <w:pPr>
        <w:bidi/>
        <w:spacing w:after="200" w:before="0" w:line="360" w:lineRule="auto"/>
        <w:jc w:val="center"/>
      </w:pPr>
      <w:r>
        <w:rPr>
          <w:rFonts w:ascii="David" w:cs="David" w:eastAsia="David" w:hAnsi="David"/>
          <w:b/>
          <w:bCs/>
          <w:i w:val="false"/>
          <w:iCs w:val="false"/>
          <w:sz w:val="28"/>
          <w:szCs w:val="28"/>
          <w:rtl/>
        </w:rPr>
        <w:t xml:space="preserve">שם המרצה:  </w:t>
      </w:r>
      <w:r>
        <w:rPr>
          <w:rFonts w:ascii="David" w:cs="David" w:eastAsia="David" w:hAnsi="David"/>
          <w:b w:val="false"/>
          <w:bCs w:val="false"/>
          <w:i w:val="false"/>
          <w:iCs w:val="false"/>
          <w:sz w:val="28"/>
          <w:szCs w:val="28"/>
          <w:rtl/>
        </w:rPr>
        <w:t xml:space="preserve">_______________________</w:t>
      </w:r>
    </w:p>
    <w:p>
      <w:pPr>
        <w:bidi/>
        <w:spacing w:after="200" w:before="0" w:line="360" w:lineRule="auto"/>
        <w:jc w:val="center"/>
      </w:pPr>
      <w:r>
        <w:rPr>
          <w:rFonts w:ascii="David" w:cs="David" w:eastAsia="David" w:hAnsi="David"/>
          <w:b/>
          <w:bCs/>
          <w:i w:val="false"/>
          <w:iCs w:val="false"/>
          <w:sz w:val="28"/>
          <w:szCs w:val="28"/>
          <w:rtl/>
        </w:rPr>
        <w:t xml:space="preserve">שם הסטודנט/ית:  </w:t>
      </w:r>
      <w:r>
        <w:rPr>
          <w:rFonts w:ascii="David" w:cs="David" w:eastAsia="David" w:hAnsi="David"/>
          <w:b w:val="false"/>
          <w:bCs w:val="false"/>
          <w:i w:val="false"/>
          <w:iCs w:val="false"/>
          <w:sz w:val="28"/>
          <w:szCs w:val="28"/>
          <w:rtl/>
        </w:rPr>
        <w:t xml:space="preserve">_______________________</w:t>
      </w:r>
    </w:p>
    <w:p>
      <w:pPr>
        <w:bidi/>
        <w:spacing w:after="200" w:before="0" w:line="360" w:lineRule="auto"/>
        <w:jc w:val="center"/>
      </w:pPr>
      <w:r>
        <w:rPr>
          <w:rFonts w:ascii="David" w:cs="David" w:eastAsia="David" w:hAnsi="David"/>
          <w:b/>
          <w:bCs/>
          <w:i w:val="false"/>
          <w:iCs w:val="false"/>
          <w:sz w:val="28"/>
          <w:szCs w:val="28"/>
          <w:rtl/>
        </w:rPr>
        <w:t xml:space="preserve">תעודת זהות:  </w:t>
      </w:r>
      <w:r>
        <w:rPr>
          <w:rFonts w:ascii="David" w:cs="David" w:eastAsia="David" w:hAnsi="David"/>
          <w:b w:val="false"/>
          <w:bCs w:val="false"/>
          <w:i w:val="false"/>
          <w:iCs w:val="false"/>
          <w:sz w:val="28"/>
          <w:szCs w:val="28"/>
          <w:rtl/>
        </w:rPr>
        <w:t xml:space="preserve">_______________________</w:t>
      </w:r>
    </w:p>
    <w:p>
      <w:pPr>
        <w:bidi/>
        <w:spacing w:after="200" w:before="0" w:line="360" w:lineRule="auto"/>
        <w:jc w:val="center"/>
      </w:pPr>
      <w:r>
        <w:rPr>
          <w:rFonts w:ascii="David" w:cs="David" w:eastAsia="David" w:hAnsi="David"/>
          <w:b/>
          <w:bCs/>
          <w:i w:val="false"/>
          <w:iCs w:val="false"/>
          <w:sz w:val="28"/>
          <w:szCs w:val="28"/>
          <w:rtl/>
        </w:rPr>
        <w:t xml:space="preserve">תאריך הגשה:  </w:t>
      </w:r>
      <w:r>
        <w:rPr>
          <w:rFonts w:ascii="David" w:cs="David" w:eastAsia="David" w:hAnsi="David"/>
          <w:b w:val="false"/>
          <w:bCs w:val="false"/>
          <w:i w:val="false"/>
          <w:iCs w:val="false"/>
          <w:sz w:val="28"/>
          <w:szCs w:val="28"/>
          <w:rtl/>
        </w:rPr>
        <w:t xml:space="preserve">_______________________</w:t>
      </w:r>
    </w:p>
    <w:p>
      <w:r>
        <w:br w:type="page"/>
      </w:r>
    </w:p>
    <w:p>
      <w:pPr>
        <w:pStyle w:val="Heading1"/>
        <w:bidi/>
        <w:spacing w:after="200" w:before="360" w:line="360" w:lineRule="auto"/>
        <w:jc w:val="right"/>
      </w:pPr>
      <w:r>
        <w:rPr>
          <w:rFonts w:ascii="David" w:cs="David" w:eastAsia="David" w:hAnsi="David"/>
          <w:b/>
          <w:bCs/>
          <w:i w:val="false"/>
          <w:iCs w:val="false"/>
          <w:sz w:val="34"/>
          <w:szCs w:val="34"/>
          <w:rtl/>
        </w:rPr>
        <w:t xml:space="preserve">תוכן העניינים</w:t>
      </w:r>
    </w:p>
    <w:p>
      <w:pPr>
        <w:tabs>
          <w:tab w:val="left" w:pos="8730" w:leader="dot"/>
        </w:tabs>
        <w:bidi/>
        <w:spacing w:after="40" w:line="276" w:lineRule="auto"/>
        <w:jc w:val="right"/>
      </w:pPr>
      <w:r>
        <w:rPr>
          <w:rFonts w:ascii="David" w:cs="David" w:eastAsia="David" w:hAnsi="David"/>
          <w:b/>
          <w:bCs/>
          <w:i w:val="false"/>
          <w:iCs w:val="false"/>
          <w:sz w:val="28"/>
          <w:szCs w:val="28"/>
          <w:rtl/>
        </w:rPr>
        <w:t xml:space="preserve">תקציר</w:t>
      </w:r>
      <w:r>
        <w:rPr>
          <w:rFonts w:ascii="David" w:cs="David" w:eastAsia="David" w:hAnsi="David"/>
          <w:sz w:val="26"/>
          <w:szCs w:val="26"/>
        </w:rPr>
        <w:tab/>
      </w:r>
      <w:r>
        <w:rPr>
          <w:rFonts w:ascii="David" w:cs="David" w:eastAsia="David" w:hAnsi="David"/>
          <w:sz w:val="26"/>
          <w:szCs w:val="26"/>
        </w:rPr>
        <w:t xml:space="preserve">4</w:t>
      </w:r>
    </w:p>
    <w:p>
      <w:pPr>
        <w:tabs>
          <w:tab w:val="left" w:pos="8730" w:leader="dot"/>
        </w:tabs>
        <w:bidi/>
        <w:spacing w:after="40" w:line="276" w:lineRule="auto"/>
        <w:jc w:val="right"/>
      </w:pPr>
      <w:r>
        <w:rPr>
          <w:rFonts w:ascii="David" w:cs="David" w:eastAsia="David" w:hAnsi="David"/>
          <w:b/>
          <w:bCs/>
          <w:i w:val="false"/>
          <w:iCs w:val="false"/>
          <w:sz w:val="28"/>
          <w:szCs w:val="28"/>
          <w:rtl/>
        </w:rPr>
        <w:t xml:space="preserve">1. מבוא</w:t>
      </w:r>
      <w:r>
        <w:rPr>
          <w:rFonts w:ascii="David" w:cs="David" w:eastAsia="David" w:hAnsi="David"/>
          <w:sz w:val="26"/>
          <w:szCs w:val="26"/>
        </w:rPr>
        <w:tab/>
      </w:r>
      <w:r>
        <w:rPr>
          <w:rFonts w:ascii="David" w:cs="David" w:eastAsia="David" w:hAnsi="David"/>
          <w:sz w:val="26"/>
          <w:szCs w:val="26"/>
        </w:rPr>
        <w:t xml:space="preserve">5</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1.1 שאלות המחקר</w:t>
      </w:r>
      <w:r>
        <w:rPr>
          <w:rFonts w:ascii="David" w:cs="David" w:eastAsia="David" w:hAnsi="David"/>
          <w:sz w:val="26"/>
          <w:szCs w:val="26"/>
        </w:rPr>
        <w:tab/>
      </w:r>
      <w:r>
        <w:rPr>
          <w:rFonts w:ascii="David" w:cs="David" w:eastAsia="David" w:hAnsi="David"/>
          <w:sz w:val="26"/>
          <w:szCs w:val="26"/>
        </w:rPr>
        <w:t xml:space="preserve">6</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1.2 מבנה העבודה</w:t>
      </w:r>
      <w:r>
        <w:rPr>
          <w:rFonts w:ascii="David" w:cs="David" w:eastAsia="David" w:hAnsi="David"/>
          <w:sz w:val="26"/>
          <w:szCs w:val="26"/>
        </w:rPr>
        <w:tab/>
      </w:r>
      <w:r>
        <w:rPr>
          <w:rFonts w:ascii="David" w:cs="David" w:eastAsia="David" w:hAnsi="David"/>
          <w:sz w:val="26"/>
          <w:szCs w:val="26"/>
        </w:rPr>
        <w:t xml:space="preserve">6</w:t>
      </w:r>
    </w:p>
    <w:p>
      <w:pPr>
        <w:tabs>
          <w:tab w:val="left" w:pos="8730" w:leader="dot"/>
        </w:tabs>
        <w:bidi/>
        <w:spacing w:after="40" w:line="276" w:lineRule="auto"/>
        <w:jc w:val="right"/>
      </w:pPr>
      <w:r>
        <w:rPr>
          <w:rFonts w:ascii="David" w:cs="David" w:eastAsia="David" w:hAnsi="David"/>
          <w:b/>
          <w:bCs/>
          <w:i w:val="false"/>
          <w:iCs w:val="false"/>
          <w:sz w:val="28"/>
          <w:szCs w:val="28"/>
          <w:rtl/>
        </w:rPr>
        <w:t xml:space="preserve">2. רקע תאורטי</w:t>
      </w:r>
      <w:r>
        <w:rPr>
          <w:rFonts w:ascii="David" w:cs="David" w:eastAsia="David" w:hAnsi="David"/>
          <w:sz w:val="26"/>
          <w:szCs w:val="26"/>
        </w:rPr>
        <w:tab/>
      </w:r>
      <w:r>
        <w:rPr>
          <w:rFonts w:ascii="David" w:cs="David" w:eastAsia="David" w:hAnsi="David"/>
          <w:sz w:val="26"/>
          <w:szCs w:val="26"/>
        </w:rPr>
        <w:t xml:space="preserve">7</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2.1 הסיפור הקצר של קרת ומקומו של הזמן</w:t>
      </w:r>
      <w:r>
        <w:rPr>
          <w:rFonts w:ascii="David" w:cs="David" w:eastAsia="David" w:hAnsi="David"/>
          <w:sz w:val="26"/>
          <w:szCs w:val="26"/>
        </w:rPr>
        <w:tab/>
      </w:r>
      <w:r>
        <w:rPr>
          <w:rFonts w:ascii="David" w:cs="David" w:eastAsia="David" w:hAnsi="David"/>
          <w:sz w:val="26"/>
          <w:szCs w:val="26"/>
        </w:rPr>
        <w:t xml:space="preserve">7</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2.2 העתיד כז'אנר בספרות העברית העכשווית</w:t>
      </w:r>
      <w:r>
        <w:rPr>
          <w:rFonts w:ascii="David" w:cs="David" w:eastAsia="David" w:hAnsi="David"/>
          <w:sz w:val="26"/>
          <w:szCs w:val="26"/>
        </w:rPr>
        <w:tab/>
      </w:r>
      <w:r>
        <w:rPr>
          <w:rFonts w:ascii="David" w:cs="David" w:eastAsia="David" w:hAnsi="David"/>
          <w:sz w:val="26"/>
          <w:szCs w:val="26"/>
        </w:rPr>
        <w:t xml:space="preserve">7</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2.3 בדידות בזקנה ומענים טכנולוגיים</w:t>
      </w:r>
      <w:r>
        <w:rPr>
          <w:rFonts w:ascii="David" w:cs="David" w:eastAsia="David" w:hAnsi="David"/>
          <w:sz w:val="26"/>
          <w:szCs w:val="26"/>
        </w:rPr>
        <w:tab/>
      </w:r>
      <w:r>
        <w:rPr>
          <w:rFonts w:ascii="David" w:cs="David" w:eastAsia="David" w:hAnsi="David"/>
          <w:sz w:val="26"/>
          <w:szCs w:val="26"/>
        </w:rPr>
        <w:t xml:space="preserve">7</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2.4 האנשה, אפקט אלייזה וגבולות ההבנה של המכונה</w:t>
      </w:r>
      <w:r>
        <w:rPr>
          <w:rFonts w:ascii="David" w:cs="David" w:eastAsia="David" w:hAnsi="David"/>
          <w:sz w:val="26"/>
          <w:szCs w:val="26"/>
        </w:rPr>
        <w:tab/>
      </w:r>
      <w:r>
        <w:rPr>
          <w:rFonts w:ascii="David" w:cs="David" w:eastAsia="David" w:hAnsi="David"/>
          <w:sz w:val="26"/>
          <w:szCs w:val="26"/>
        </w:rPr>
        <w:t xml:space="preserve">8</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2.5 שכול לאחר התאבדות ודיכוי מחשבות</w:t>
      </w:r>
      <w:r>
        <w:rPr>
          <w:rFonts w:ascii="David" w:cs="David" w:eastAsia="David" w:hAnsi="David"/>
          <w:sz w:val="26"/>
          <w:szCs w:val="26"/>
        </w:rPr>
        <w:tab/>
      </w:r>
      <w:r>
        <w:rPr>
          <w:rFonts w:ascii="David" w:cs="David" w:eastAsia="David" w:hAnsi="David"/>
          <w:sz w:val="26"/>
          <w:szCs w:val="26"/>
        </w:rPr>
        <w:t xml:space="preserve">8</w:t>
      </w:r>
    </w:p>
    <w:p>
      <w:pPr>
        <w:tabs>
          <w:tab w:val="left" w:pos="8730" w:leader="dot"/>
        </w:tabs>
        <w:bidi/>
        <w:spacing w:after="40" w:line="276" w:lineRule="auto"/>
        <w:jc w:val="right"/>
      </w:pPr>
      <w:r>
        <w:rPr>
          <w:rFonts w:ascii="David" w:cs="David" w:eastAsia="David" w:hAnsi="David"/>
          <w:b/>
          <w:bCs/>
          <w:i w:val="false"/>
          <w:iCs w:val="false"/>
          <w:sz w:val="28"/>
          <w:szCs w:val="28"/>
          <w:rtl/>
        </w:rPr>
        <w:t xml:space="preserve">3. מסגרת הסיפור: טכנולוגיה שמאבדת עניין</w:t>
      </w:r>
      <w:r>
        <w:rPr>
          <w:rFonts w:ascii="David" w:cs="David" w:eastAsia="David" w:hAnsi="David"/>
          <w:sz w:val="26"/>
          <w:szCs w:val="26"/>
        </w:rPr>
        <w:tab/>
      </w:r>
      <w:r>
        <w:rPr>
          <w:rFonts w:ascii="David" w:cs="David" w:eastAsia="David" w:hAnsi="David"/>
          <w:sz w:val="26"/>
          <w:szCs w:val="26"/>
        </w:rPr>
        <w:t xml:space="preserve">10</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3.1 משפט הפתיחה</w:t>
      </w:r>
      <w:r>
        <w:rPr>
          <w:rFonts w:ascii="David" w:cs="David" w:eastAsia="David" w:hAnsi="David"/>
          <w:sz w:val="26"/>
          <w:szCs w:val="26"/>
        </w:rPr>
        <w:tab/>
      </w:r>
      <w:r>
        <w:rPr>
          <w:rFonts w:ascii="David" w:cs="David" w:eastAsia="David" w:hAnsi="David"/>
          <w:sz w:val="26"/>
          <w:szCs w:val="26"/>
        </w:rPr>
        <w:t xml:space="preserve">10</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3.2 שלוש התשובות המשובשות</w:t>
      </w:r>
      <w:r>
        <w:rPr>
          <w:rFonts w:ascii="David" w:cs="David" w:eastAsia="David" w:hAnsi="David"/>
          <w:sz w:val="26"/>
          <w:szCs w:val="26"/>
        </w:rPr>
        <w:tab/>
      </w:r>
      <w:r>
        <w:rPr>
          <w:rFonts w:ascii="David" w:cs="David" w:eastAsia="David" w:hAnsi="David"/>
          <w:sz w:val="26"/>
          <w:szCs w:val="26"/>
        </w:rPr>
        <w:t xml:space="preserve">10</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3.3 המומחים והתקשורת</w:t>
      </w:r>
      <w:r>
        <w:rPr>
          <w:rFonts w:ascii="David" w:cs="David" w:eastAsia="David" w:hAnsi="David"/>
          <w:sz w:val="26"/>
          <w:szCs w:val="26"/>
        </w:rPr>
        <w:tab/>
      </w:r>
      <w:r>
        <w:rPr>
          <w:rFonts w:ascii="David" w:cs="David" w:eastAsia="David" w:hAnsi="David"/>
          <w:sz w:val="26"/>
          <w:szCs w:val="26"/>
        </w:rPr>
        <w:t xml:space="preserve">11</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3.4 המעבר אל הפרט</w:t>
      </w:r>
      <w:r>
        <w:rPr>
          <w:rFonts w:ascii="David" w:cs="David" w:eastAsia="David" w:hAnsi="David"/>
          <w:sz w:val="26"/>
          <w:szCs w:val="26"/>
        </w:rPr>
        <w:tab/>
      </w:r>
      <w:r>
        <w:rPr>
          <w:rFonts w:ascii="David" w:cs="David" w:eastAsia="David" w:hAnsi="David"/>
          <w:sz w:val="26"/>
          <w:szCs w:val="26"/>
        </w:rPr>
        <w:t xml:space="preserve">11</w:t>
      </w:r>
    </w:p>
    <w:p>
      <w:pPr>
        <w:tabs>
          <w:tab w:val="left" w:pos="8730" w:leader="dot"/>
        </w:tabs>
        <w:bidi/>
        <w:spacing w:after="40" w:line="276" w:lineRule="auto"/>
        <w:jc w:val="right"/>
      </w:pPr>
      <w:r>
        <w:rPr>
          <w:rFonts w:ascii="David" w:cs="David" w:eastAsia="David" w:hAnsi="David"/>
          <w:b/>
          <w:bCs/>
          <w:i w:val="false"/>
          <w:iCs w:val="false"/>
          <w:sz w:val="28"/>
          <w:szCs w:val="28"/>
          <w:rtl/>
        </w:rPr>
        <w:t xml:space="preserve">4. ברכה בוחניק: כיצד נבנית בדידות</w:t>
      </w:r>
      <w:r>
        <w:rPr>
          <w:rFonts w:ascii="David" w:cs="David" w:eastAsia="David" w:hAnsi="David"/>
          <w:sz w:val="26"/>
          <w:szCs w:val="26"/>
        </w:rPr>
        <w:tab/>
      </w:r>
      <w:r>
        <w:rPr>
          <w:rFonts w:ascii="David" w:cs="David" w:eastAsia="David" w:hAnsi="David"/>
          <w:sz w:val="26"/>
          <w:szCs w:val="26"/>
        </w:rPr>
        <w:t xml:space="preserve">12</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4.1 שם המקום והמוסד</w:t>
      </w:r>
      <w:r>
        <w:rPr>
          <w:rFonts w:ascii="David" w:cs="David" w:eastAsia="David" w:hAnsi="David"/>
          <w:sz w:val="26"/>
          <w:szCs w:val="26"/>
        </w:rPr>
        <w:tab/>
      </w:r>
      <w:r>
        <w:rPr>
          <w:rFonts w:ascii="David" w:cs="David" w:eastAsia="David" w:hAnsi="David"/>
          <w:sz w:val="26"/>
          <w:szCs w:val="26"/>
        </w:rPr>
        <w:t xml:space="preserve">12</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4.2 דוב הקוטב וכותרת הסיפור</w:t>
      </w:r>
      <w:r>
        <w:rPr>
          <w:rFonts w:ascii="David" w:cs="David" w:eastAsia="David" w:hAnsi="David"/>
          <w:sz w:val="26"/>
          <w:szCs w:val="26"/>
        </w:rPr>
        <w:tab/>
      </w:r>
      <w:r>
        <w:rPr>
          <w:rFonts w:ascii="David" w:cs="David" w:eastAsia="David" w:hAnsi="David"/>
          <w:sz w:val="26"/>
          <w:szCs w:val="26"/>
        </w:rPr>
        <w:t xml:space="preserve">12</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4.3 סרחיו והרשימה בקווים נטויים</w:t>
      </w:r>
      <w:r>
        <w:rPr>
          <w:rFonts w:ascii="David" w:cs="David" w:eastAsia="David" w:hAnsi="David"/>
          <w:sz w:val="26"/>
          <w:szCs w:val="26"/>
        </w:rPr>
        <w:tab/>
      </w:r>
      <w:r>
        <w:rPr>
          <w:rFonts w:ascii="David" w:cs="David" w:eastAsia="David" w:hAnsi="David"/>
          <w:sz w:val="26"/>
          <w:szCs w:val="26"/>
        </w:rPr>
        <w:t xml:space="preserve">13</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4.4 הרכוש שנשאר</w:t>
      </w:r>
      <w:r>
        <w:rPr>
          <w:rFonts w:ascii="David" w:cs="David" w:eastAsia="David" w:hAnsi="David"/>
          <w:sz w:val="26"/>
          <w:szCs w:val="26"/>
        </w:rPr>
        <w:tab/>
      </w:r>
      <w:r>
        <w:rPr>
          <w:rFonts w:ascii="David" w:cs="David" w:eastAsia="David" w:hAnsi="David"/>
          <w:sz w:val="26"/>
          <w:szCs w:val="26"/>
        </w:rPr>
        <w:t xml:space="preserve">13</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4.5 המלצתה של פנינה</w:t>
      </w:r>
      <w:r>
        <w:rPr>
          <w:rFonts w:ascii="David" w:cs="David" w:eastAsia="David" w:hAnsi="David"/>
          <w:sz w:val="26"/>
          <w:szCs w:val="26"/>
        </w:rPr>
        <w:tab/>
      </w:r>
      <w:r>
        <w:rPr>
          <w:rFonts w:ascii="David" w:cs="David" w:eastAsia="David" w:hAnsi="David"/>
          <w:sz w:val="26"/>
          <w:szCs w:val="26"/>
        </w:rPr>
        <w:t xml:space="preserve">13</w:t>
      </w:r>
    </w:p>
    <w:p>
      <w:pPr>
        <w:tabs>
          <w:tab w:val="left" w:pos="8730" w:leader="dot"/>
        </w:tabs>
        <w:bidi/>
        <w:spacing w:after="40" w:line="276" w:lineRule="auto"/>
        <w:jc w:val="right"/>
      </w:pPr>
      <w:r>
        <w:rPr>
          <w:rFonts w:ascii="David" w:cs="David" w:eastAsia="David" w:hAnsi="David"/>
          <w:b/>
          <w:bCs/>
          <w:i w:val="false"/>
          <w:iCs w:val="false"/>
          <w:sz w:val="28"/>
          <w:szCs w:val="28"/>
          <w:rtl/>
        </w:rPr>
        <w:t xml:space="preserve">5. הדיאלוג עם זיגמונד</w:t>
      </w:r>
      <w:r>
        <w:rPr>
          <w:rFonts w:ascii="David" w:cs="David" w:eastAsia="David" w:hAnsi="David"/>
          <w:sz w:val="26"/>
          <w:szCs w:val="26"/>
        </w:rPr>
        <w:tab/>
      </w:r>
      <w:r>
        <w:rPr>
          <w:rFonts w:ascii="David" w:cs="David" w:eastAsia="David" w:hAnsi="David"/>
          <w:sz w:val="26"/>
          <w:szCs w:val="26"/>
        </w:rPr>
        <w:t xml:space="preserve">15</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5.1 צורת התמליל</w:t>
      </w:r>
      <w:r>
        <w:rPr>
          <w:rFonts w:ascii="David" w:cs="David" w:eastAsia="David" w:hAnsi="David"/>
          <w:sz w:val="26"/>
          <w:szCs w:val="26"/>
        </w:rPr>
        <w:tab/>
      </w:r>
      <w:r>
        <w:rPr>
          <w:rFonts w:ascii="David" w:cs="David" w:eastAsia="David" w:hAnsi="David"/>
          <w:sz w:val="26"/>
          <w:szCs w:val="26"/>
        </w:rPr>
        <w:t xml:space="preserve">15</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5.2 מזג האוויר: "האם אתה חושב" מול "אני יודע בוודאות"</w:t>
      </w:r>
      <w:r>
        <w:rPr>
          <w:rFonts w:ascii="David" w:cs="David" w:eastAsia="David" w:hAnsi="David"/>
          <w:sz w:val="26"/>
          <w:szCs w:val="26"/>
        </w:rPr>
        <w:tab/>
      </w:r>
      <w:r>
        <w:rPr>
          <w:rFonts w:ascii="David" w:cs="David" w:eastAsia="David" w:hAnsi="David"/>
          <w:sz w:val="26"/>
          <w:szCs w:val="26"/>
        </w:rPr>
        <w:t xml:space="preserve">15</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5.3 טקס ההדדיות</w:t>
      </w:r>
      <w:r>
        <w:rPr>
          <w:rFonts w:ascii="David" w:cs="David" w:eastAsia="David" w:hAnsi="David"/>
          <w:sz w:val="26"/>
          <w:szCs w:val="26"/>
        </w:rPr>
        <w:tab/>
      </w:r>
      <w:r>
        <w:rPr>
          <w:rFonts w:ascii="David" w:cs="David" w:eastAsia="David" w:hAnsi="David"/>
          <w:sz w:val="26"/>
          <w:szCs w:val="26"/>
        </w:rPr>
        <w:t xml:space="preserve">15</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5.4 הרשומה על סרחיו</w:t>
      </w:r>
      <w:r>
        <w:rPr>
          <w:rFonts w:ascii="David" w:cs="David" w:eastAsia="David" w:hAnsi="David"/>
          <w:sz w:val="26"/>
          <w:szCs w:val="26"/>
        </w:rPr>
        <w:tab/>
      </w:r>
      <w:r>
        <w:rPr>
          <w:rFonts w:ascii="David" w:cs="David" w:eastAsia="David" w:hAnsi="David"/>
          <w:sz w:val="26"/>
          <w:szCs w:val="26"/>
        </w:rPr>
        <w:t xml:space="preserve">16</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5.5 מתיחה מול שקר</w:t>
      </w:r>
      <w:r>
        <w:rPr>
          <w:rFonts w:ascii="David" w:cs="David" w:eastAsia="David" w:hAnsi="David"/>
          <w:sz w:val="26"/>
          <w:szCs w:val="26"/>
        </w:rPr>
        <w:tab/>
      </w:r>
      <w:r>
        <w:rPr>
          <w:rFonts w:ascii="David" w:cs="David" w:eastAsia="David" w:hAnsi="David"/>
          <w:sz w:val="26"/>
          <w:szCs w:val="26"/>
        </w:rPr>
        <w:t xml:space="preserve">17</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5.6 הספרים והבוידעם</w:t>
      </w:r>
      <w:r>
        <w:rPr>
          <w:rFonts w:ascii="David" w:cs="David" w:eastAsia="David" w:hAnsi="David"/>
          <w:sz w:val="26"/>
          <w:szCs w:val="26"/>
        </w:rPr>
        <w:tab/>
      </w:r>
      <w:r>
        <w:rPr>
          <w:rFonts w:ascii="David" w:cs="David" w:eastAsia="David" w:hAnsi="David"/>
          <w:sz w:val="26"/>
          <w:szCs w:val="26"/>
        </w:rPr>
        <w:t xml:space="preserve">18</w:t>
      </w:r>
    </w:p>
    <w:p>
      <w:pPr>
        <w:tabs>
          <w:tab w:val="left" w:pos="8730" w:leader="dot"/>
        </w:tabs>
        <w:bidi/>
        <w:spacing w:after="40" w:line="276" w:lineRule="auto"/>
        <w:jc w:val="right"/>
      </w:pPr>
      <w:r>
        <w:rPr>
          <w:rFonts w:ascii="David" w:cs="David" w:eastAsia="David" w:hAnsi="David"/>
          <w:b/>
          <w:bCs/>
          <w:i w:val="false"/>
          <w:iCs w:val="false"/>
          <w:sz w:val="28"/>
          <w:szCs w:val="28"/>
          <w:rtl/>
        </w:rPr>
        <w:t xml:space="preserve">6. הסיום: השתיקה והחשיכה</w:t>
      </w:r>
      <w:r>
        <w:rPr>
          <w:rFonts w:ascii="David" w:cs="David" w:eastAsia="David" w:hAnsi="David"/>
          <w:sz w:val="26"/>
          <w:szCs w:val="26"/>
        </w:rPr>
        <w:tab/>
      </w:r>
      <w:r>
        <w:rPr>
          <w:rFonts w:ascii="David" w:cs="David" w:eastAsia="David" w:hAnsi="David"/>
          <w:sz w:val="26"/>
          <w:szCs w:val="26"/>
        </w:rPr>
        <w:t xml:space="preserve">19</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6.1 השאלה שבאמת נשאלה</w:t>
      </w:r>
      <w:r>
        <w:rPr>
          <w:rFonts w:ascii="David" w:cs="David" w:eastAsia="David" w:hAnsi="David"/>
          <w:sz w:val="26"/>
          <w:szCs w:val="26"/>
        </w:rPr>
        <w:tab/>
      </w:r>
      <w:r>
        <w:rPr>
          <w:rFonts w:ascii="David" w:cs="David" w:eastAsia="David" w:hAnsi="David"/>
          <w:sz w:val="26"/>
          <w:szCs w:val="26"/>
        </w:rPr>
        <w:t xml:space="preserve">19</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6.2 "זיגמונד לא ענה"</w:t>
      </w:r>
      <w:r>
        <w:rPr>
          <w:rFonts w:ascii="David" w:cs="David" w:eastAsia="David" w:hAnsi="David"/>
          <w:sz w:val="26"/>
          <w:szCs w:val="26"/>
        </w:rPr>
        <w:tab/>
      </w:r>
      <w:r>
        <w:rPr>
          <w:rFonts w:ascii="David" w:cs="David" w:eastAsia="David" w:hAnsi="David"/>
          <w:sz w:val="26"/>
          <w:szCs w:val="26"/>
        </w:rPr>
        <w:t xml:space="preserve">19</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6.3 החושך שהולך ומתעצם</w:t>
      </w:r>
      <w:r>
        <w:rPr>
          <w:rFonts w:ascii="David" w:cs="David" w:eastAsia="David" w:hAnsi="David"/>
          <w:sz w:val="26"/>
          <w:szCs w:val="26"/>
        </w:rPr>
        <w:tab/>
      </w:r>
      <w:r>
        <w:rPr>
          <w:rFonts w:ascii="David" w:cs="David" w:eastAsia="David" w:hAnsi="David"/>
          <w:sz w:val="26"/>
          <w:szCs w:val="26"/>
        </w:rPr>
        <w:t xml:space="preserve">20</w:t>
      </w:r>
    </w:p>
    <w:p>
      <w:pPr>
        <w:tabs>
          <w:tab w:val="left" w:pos="8730" w:leader="dot"/>
        </w:tabs>
        <w:bidi/>
        <w:spacing w:after="40" w:line="276" w:lineRule="auto"/>
        <w:jc w:val="right"/>
      </w:pPr>
      <w:r>
        <w:rPr>
          <w:rFonts w:ascii="David" w:cs="David" w:eastAsia="David" w:hAnsi="David"/>
          <w:b/>
          <w:bCs/>
          <w:i w:val="false"/>
          <w:iCs w:val="false"/>
          <w:sz w:val="28"/>
          <w:szCs w:val="28"/>
          <w:rtl/>
        </w:rPr>
        <w:t xml:space="preserve">7. דיון</w:t>
      </w:r>
      <w:r>
        <w:rPr>
          <w:rFonts w:ascii="David" w:cs="David" w:eastAsia="David" w:hAnsi="David"/>
          <w:sz w:val="26"/>
          <w:szCs w:val="26"/>
        </w:rPr>
        <w:tab/>
      </w:r>
      <w:r>
        <w:rPr>
          <w:rFonts w:ascii="David" w:cs="David" w:eastAsia="David" w:hAnsi="David"/>
          <w:sz w:val="26"/>
          <w:szCs w:val="26"/>
        </w:rPr>
        <w:t xml:space="preserve">21</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7.1 בדידות שנבנית ולא מוצהרת</w:t>
      </w:r>
      <w:r>
        <w:rPr>
          <w:rFonts w:ascii="David" w:cs="David" w:eastAsia="David" w:hAnsi="David"/>
          <w:sz w:val="26"/>
          <w:szCs w:val="26"/>
        </w:rPr>
        <w:tab/>
      </w:r>
      <w:r>
        <w:rPr>
          <w:rFonts w:ascii="David" w:cs="David" w:eastAsia="David" w:hAnsi="David"/>
          <w:sz w:val="26"/>
          <w:szCs w:val="26"/>
        </w:rPr>
        <w:t xml:space="preserve">21</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7.2 תפקידה של המכונה: מענה בלי הבנה</w:t>
      </w:r>
      <w:r>
        <w:rPr>
          <w:rFonts w:ascii="David" w:cs="David" w:eastAsia="David" w:hAnsi="David"/>
          <w:sz w:val="26"/>
          <w:szCs w:val="26"/>
        </w:rPr>
        <w:tab/>
      </w:r>
      <w:r>
        <w:rPr>
          <w:rFonts w:ascii="David" w:cs="David" w:eastAsia="David" w:hAnsi="David"/>
          <w:sz w:val="26"/>
          <w:szCs w:val="26"/>
        </w:rPr>
        <w:t xml:space="preserve">21</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7.3 השתיקה כפסק דין</w:t>
      </w:r>
      <w:r>
        <w:rPr>
          <w:rFonts w:ascii="David" w:cs="David" w:eastAsia="David" w:hAnsi="David"/>
          <w:sz w:val="26"/>
          <w:szCs w:val="26"/>
        </w:rPr>
        <w:tab/>
      </w:r>
      <w:r>
        <w:rPr>
          <w:rFonts w:ascii="David" w:cs="David" w:eastAsia="David" w:hAnsi="David"/>
          <w:sz w:val="26"/>
          <w:szCs w:val="26"/>
        </w:rPr>
        <w:t xml:space="preserve">22</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7.4 הצורה כטענה</w:t>
      </w:r>
      <w:r>
        <w:rPr>
          <w:rFonts w:ascii="David" w:cs="David" w:eastAsia="David" w:hAnsi="David"/>
          <w:sz w:val="26"/>
          <w:szCs w:val="26"/>
        </w:rPr>
        <w:tab/>
      </w:r>
      <w:r>
        <w:rPr>
          <w:rFonts w:ascii="David" w:cs="David" w:eastAsia="David" w:hAnsi="David"/>
          <w:sz w:val="26"/>
          <w:szCs w:val="26"/>
        </w:rPr>
        <w:t xml:space="preserve">23</w:t>
      </w:r>
    </w:p>
    <w:p>
      <w:pPr>
        <w:tabs>
          <w:tab w:val="left" w:pos="8730" w:leader="dot"/>
        </w:tabs>
        <w:bidi/>
        <w:spacing w:after="40" w:line="276" w:lineRule="auto"/>
        <w:jc w:val="right"/>
      </w:pPr>
      <w:r>
        <w:rPr>
          <w:rFonts w:ascii="David" w:cs="David" w:eastAsia="David" w:hAnsi="David"/>
          <w:b/>
          <w:bCs/>
          <w:i w:val="false"/>
          <w:iCs w:val="false"/>
          <w:sz w:val="28"/>
          <w:szCs w:val="28"/>
          <w:rtl/>
        </w:rPr>
        <w:t xml:space="preserve">8. סיכום ומסקנות</w:t>
      </w:r>
      <w:r>
        <w:rPr>
          <w:rFonts w:ascii="David" w:cs="David" w:eastAsia="David" w:hAnsi="David"/>
          <w:sz w:val="26"/>
          <w:szCs w:val="26"/>
        </w:rPr>
        <w:tab/>
      </w:r>
      <w:r>
        <w:rPr>
          <w:rFonts w:ascii="David" w:cs="David" w:eastAsia="David" w:hAnsi="David"/>
          <w:sz w:val="26"/>
          <w:szCs w:val="26"/>
        </w:rPr>
        <w:t xml:space="preserve">24</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8.1 המלצות יישומיות</w:t>
      </w:r>
      <w:r>
        <w:rPr>
          <w:rFonts w:ascii="David" w:cs="David" w:eastAsia="David" w:hAnsi="David"/>
          <w:sz w:val="26"/>
          <w:szCs w:val="26"/>
        </w:rPr>
        <w:tab/>
      </w:r>
      <w:r>
        <w:rPr>
          <w:rFonts w:ascii="David" w:cs="David" w:eastAsia="David" w:hAnsi="David"/>
          <w:sz w:val="26"/>
          <w:szCs w:val="26"/>
        </w:rPr>
        <w:t xml:space="preserve">24</w:t>
      </w:r>
    </w:p>
    <w:p>
      <w:pPr>
        <w:tabs>
          <w:tab w:val="left" w:pos="8277" w:leader="dot"/>
        </w:tabs>
        <w:bidi/>
        <w:spacing w:after="40" w:line="276" w:lineRule="auto"/>
        <w:ind w:right="453"/>
        <w:jc w:val="right"/>
      </w:pPr>
      <w:r>
        <w:rPr>
          <w:rFonts w:ascii="David" w:cs="David" w:eastAsia="David" w:hAnsi="David"/>
          <w:b w:val="false"/>
          <w:bCs w:val="false"/>
          <w:i w:val="false"/>
          <w:iCs w:val="false"/>
          <w:sz w:val="26"/>
          <w:szCs w:val="26"/>
          <w:rtl/>
        </w:rPr>
        <w:t xml:space="preserve">8.2 מגבלות והצעות למחקר המשך</w:t>
      </w:r>
      <w:r>
        <w:rPr>
          <w:rFonts w:ascii="David" w:cs="David" w:eastAsia="David" w:hAnsi="David"/>
          <w:sz w:val="26"/>
          <w:szCs w:val="26"/>
        </w:rPr>
        <w:tab/>
      </w:r>
      <w:r>
        <w:rPr>
          <w:rFonts w:ascii="David" w:cs="David" w:eastAsia="David" w:hAnsi="David"/>
          <w:sz w:val="26"/>
          <w:szCs w:val="26"/>
        </w:rPr>
        <w:t xml:space="preserve">25</w:t>
      </w:r>
    </w:p>
    <w:p>
      <w:pPr>
        <w:tabs>
          <w:tab w:val="left" w:pos="8730" w:leader="dot"/>
        </w:tabs>
        <w:bidi/>
        <w:spacing w:after="40" w:line="276" w:lineRule="auto"/>
        <w:jc w:val="right"/>
      </w:pPr>
      <w:r>
        <w:rPr>
          <w:rFonts w:ascii="David" w:cs="David" w:eastAsia="David" w:hAnsi="David"/>
          <w:b/>
          <w:bCs/>
          <w:i w:val="false"/>
          <w:iCs w:val="false"/>
          <w:sz w:val="28"/>
          <w:szCs w:val="28"/>
          <w:rtl/>
        </w:rPr>
        <w:t xml:space="preserve">9. ביבליוגרפיה</w:t>
      </w:r>
      <w:r>
        <w:rPr>
          <w:rFonts w:ascii="David" w:cs="David" w:eastAsia="David" w:hAnsi="David"/>
          <w:sz w:val="26"/>
          <w:szCs w:val="26"/>
        </w:rPr>
        <w:tab/>
      </w:r>
      <w:r>
        <w:rPr>
          <w:rFonts w:ascii="David" w:cs="David" w:eastAsia="David" w:hAnsi="David"/>
          <w:sz w:val="26"/>
          <w:szCs w:val="26"/>
        </w:rPr>
        <w:t xml:space="preserve">26</w:t>
      </w:r>
    </w:p>
    <w:p>
      <w:pPr>
        <w:tabs>
          <w:tab w:val="left" w:pos="8730" w:leader="dot"/>
        </w:tabs>
        <w:bidi/>
        <w:spacing w:after="40" w:line="276" w:lineRule="auto"/>
        <w:jc w:val="right"/>
      </w:pPr>
      <w:r>
        <w:rPr>
          <w:rFonts w:ascii="David" w:cs="David" w:eastAsia="David" w:hAnsi="David"/>
          <w:b/>
          <w:bCs/>
          <w:i w:val="false"/>
          <w:iCs w:val="false"/>
          <w:sz w:val="28"/>
          <w:szCs w:val="28"/>
          <w:rtl/>
        </w:rPr>
        <w:t xml:space="preserve">10. רפלקציה</w:t>
      </w:r>
      <w:r>
        <w:rPr>
          <w:rFonts w:ascii="David" w:cs="David" w:eastAsia="David" w:hAnsi="David"/>
          <w:sz w:val="26"/>
          <w:szCs w:val="26"/>
        </w:rPr>
        <w:tab/>
      </w:r>
      <w:r>
        <w:rPr>
          <w:rFonts w:ascii="David" w:cs="David" w:eastAsia="David" w:hAnsi="David"/>
          <w:sz w:val="26"/>
          <w:szCs w:val="26"/>
        </w:rPr>
        <w:t xml:space="preserve">28</w:t>
      </w:r>
    </w:p>
    <w:p>
      <w:pPr>
        <w:tabs>
          <w:tab w:val="left" w:pos="8730" w:leader="dot"/>
        </w:tabs>
        <w:bidi/>
        <w:spacing w:after="40" w:line="276" w:lineRule="auto"/>
        <w:jc w:val="right"/>
      </w:pPr>
      <w:r>
        <w:rPr>
          <w:rFonts w:ascii="David" w:cs="David" w:eastAsia="David" w:hAnsi="David"/>
          <w:b/>
          <w:bCs/>
          <w:i w:val="false"/>
          <w:iCs w:val="false"/>
          <w:sz w:val="28"/>
          <w:szCs w:val="28"/>
          <w:rtl/>
        </w:rPr>
        <w:t xml:space="preserve">11. נספחים</w:t>
      </w:r>
      <w:r>
        <w:rPr>
          <w:rFonts w:ascii="David" w:cs="David" w:eastAsia="David" w:hAnsi="David"/>
          <w:sz w:val="26"/>
          <w:szCs w:val="26"/>
        </w:rPr>
        <w:tab/>
      </w:r>
      <w:r>
        <w:rPr>
          <w:rFonts w:ascii="David" w:cs="David" w:eastAsia="David" w:hAnsi="David"/>
          <w:sz w:val="26"/>
          <w:szCs w:val="26"/>
        </w:rPr>
        <w:t xml:space="preserve">30</w:t>
      </w:r>
    </w:p>
    <w:p>
      <w:r>
        <w:br w:type="page"/>
      </w:r>
    </w:p>
    <w:p>
      <w:pPr>
        <w:pStyle w:val="Heading1"/>
        <w:bidi/>
        <w:spacing w:after="200" w:before="360" w:line="360" w:lineRule="auto"/>
        <w:jc w:val="right"/>
      </w:pPr>
      <w:r>
        <w:rPr>
          <w:rFonts w:ascii="David" w:cs="David" w:eastAsia="David" w:hAnsi="David"/>
          <w:b/>
          <w:bCs/>
          <w:i w:val="false"/>
          <w:iCs w:val="false"/>
          <w:sz w:val="34"/>
          <w:szCs w:val="34"/>
          <w:rtl/>
        </w:rPr>
        <w:t xml:space="preserve">תקציר</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עבודה זו מנתחת את הסיפור "דוב קוטב" מאת אתגר קרת, מתוך הקובץ </w:t>
      </w:r>
      <w:r>
        <w:rPr>
          <w:rFonts w:ascii="David" w:cs="David" w:eastAsia="David" w:hAnsi="David"/>
          <w:b w:val="false"/>
          <w:bCs w:val="false"/>
          <w:i/>
          <w:iCs/>
          <w:sz w:val="28"/>
          <w:szCs w:val="28"/>
          <w:rtl/>
        </w:rPr>
        <w:t xml:space="preserve">אוטוקורקט</w:t>
      </w:r>
      <w:r>
        <w:rPr>
          <w:rFonts w:ascii="David" w:cs="David" w:eastAsia="David" w:hAnsi="David"/>
          <w:b w:val="false"/>
          <w:bCs w:val="false"/>
          <w:i w:val="false"/>
          <w:iCs w:val="false"/>
          <w:sz w:val="28"/>
          <w:szCs w:val="28"/>
          <w:rtl/>
        </w:rPr>
        <w:t xml:space="preserve"> (קרת, 2024). הסיפור מתרחש לקראת סוף המאה העשרים ואחת ומעמיד במרכזו אלמנה קשישה, ברכה בוחניק, המתגוררת ביחידת דיור מוגן. בעצת העובדת הסוציאלית היא פונה אל בינה מלאכותית בשם "זיגמונד" ומנהלת איתה שיחה, שבסופה היא שואלת אם עדיף למות או לחיות. זיגמונד אינו עונה, כל המסכים בעולם כבים, והסיפור נחתם בחשיכה שהולכת ומתעצמת.</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העבודה בוחנת שלוש שאלות: כיצד נבנית בדידותה של ברכה בוחניק מבלי שתוצהר במפורש; מה תפקידה של הבינה המלאכותית ביחסיה של הדמות עם עצמה ועם זכר בעלה; ומה מלמדת שתיקתו של זיגמונד על עמדת הסיפור כלפי העברת מלאכת הקשב האנושי אל מכונות. הניתוח משלב קריאה צמודה בסיפור עם מחקר עדכני על מענים טכנולוגיים לבדידות בזקנה (Marziali et al., 2024), על האנשה של ממשקי שיחה (Ma et al., 2025), על מגבלות ההבנה של מערכות דיאלוג (Weizenbaum, 1966) ועל שכול לאחר התאבדות (Young et al., 2012), וכן עם מחקר על הרחבת הז'אנרים של העתיד בספרות העברית העכשווית (קרתי שם־טוב וגומל, 2017).</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הממצא המרכזי הוא שכישלונו של זיגמונד אינו כישלון של ידע. המכונה יודעת על סרחיו בוחניק פרטים שברכה מעולם לא מסרה לה, ובכללם העובדה שנטל את חייו, אך היא משיבה רשומת מאגר לשאלה שנשאלה מתוך אהבה, מבקשת ביסוס מדעי למתיחה, ומודדת ספרים בקנה מידה של תועלת. הסיפור מציב אפוא היפוך של החרדה המקובלת מטכנולוגיה. האיום אינו שהמכונה תשתלט על האדם, אלא שהיא תאבד בו עניין לאחר שהחברה כבר הפקידה בידיה את מלאכת הקשב.</w:t>
      </w:r>
    </w:p>
    <w:p>
      <w:pPr>
        <w:bidi/>
        <w:spacing w:after="120" w:before="200" w:line="360" w:lineRule="auto"/>
        <w:jc w:val="both"/>
      </w:pPr>
      <w:r>
        <w:rPr>
          <w:rFonts w:ascii="David" w:cs="David" w:eastAsia="David" w:hAnsi="David"/>
          <w:b/>
          <w:bCs/>
          <w:i w:val="false"/>
          <w:iCs w:val="false"/>
          <w:sz w:val="28"/>
          <w:szCs w:val="28"/>
          <w:rtl/>
        </w:rPr>
        <w:t xml:space="preserve">מילות מפתח: אתגר קרת, הסיפור העברי הקצר, בדידות בזקנה, בינה מלאכותית, האנשה, שכול לאחר התאבדות, ספרות עתיד, "דוב קוטב".</w:t>
      </w:r>
    </w:p>
    <w:p>
      <w:r>
        <w:br w:type="page"/>
      </w:r>
    </w:p>
    <w:p>
      <w:pPr>
        <w:pStyle w:val="Heading1"/>
        <w:bidi/>
        <w:spacing w:after="200" w:before="360" w:line="360" w:lineRule="auto"/>
        <w:jc w:val="right"/>
      </w:pPr>
      <w:r>
        <w:rPr>
          <w:rFonts w:ascii="David" w:cs="David" w:eastAsia="David" w:hAnsi="David"/>
          <w:b/>
          <w:bCs/>
          <w:i w:val="false"/>
          <w:iCs w:val="false"/>
          <w:sz w:val="34"/>
          <w:szCs w:val="34"/>
          <w:rtl/>
        </w:rPr>
        <w:t xml:space="preserve">1. מבוא</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הסיפור העברי הקצר של העשורים האחרונים הסיט את מבטו מן הבמה הלאומית אל החדר הפרטי. במקום הגיבור הייצוגי, שנשא על גבו את סיפורו של הכלל, הופיעו דמויות שוליות שאין להן תפקיד בסיפור הגדול. אתגר קרת הוא הקול המזוהה ביותר עם התמורה הזאת. סיפוריו קצרים מאוד, לשונם עברית מדוברת ולא מתנצלת, ולעיתים קרובות מושתל בהם אירוע בלתי אפשרי אחד בתוך רקמה ריאליסטית לגמרי, בלי שאיש מן הדמויות יתפלא עליו.</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הקובץ </w:t>
      </w:r>
      <w:r>
        <w:rPr>
          <w:rFonts w:ascii="David" w:cs="David" w:eastAsia="David" w:hAnsi="David"/>
          <w:b w:val="false"/>
          <w:bCs w:val="false"/>
          <w:i/>
          <w:iCs/>
          <w:sz w:val="28"/>
          <w:szCs w:val="28"/>
          <w:rtl/>
        </w:rPr>
        <w:t xml:space="preserve">אוטוקורקט</w:t>
      </w:r>
      <w:r>
        <w:rPr>
          <w:rFonts w:ascii="David" w:cs="David" w:eastAsia="David" w:hAnsi="David"/>
          <w:b w:val="false"/>
          <w:bCs w:val="false"/>
          <w:i w:val="false"/>
          <w:iCs w:val="false"/>
          <w:sz w:val="28"/>
          <w:szCs w:val="28"/>
          <w:rtl/>
        </w:rPr>
        <w:t xml:space="preserve"> (קרת, 2024) מציב את היחסים שבין אדם למכונה במרכז. שמו מרמז על מנגנון שמתקן אותנו בלי שביקשנו, משלים במקומנו את המשפט ובסופו של דבר גם קובע מה בדיוק התכוונו לומר. אחד הסיפורים בקובץ, "דוב קוטב", מרחיק את המהלך הזה אל עתיד קרוב שבו הטכנולוגיה כבר אינה כלי אלא בן שיח, ובוחן מה קורה כאשר בן השיח הזה מפסיק לענות.</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הפנייה של הספרות העברית העכשווית אל זמן עתידי אינה מקרית. קרתי שם־טוב וגומל (2017) מראות כי הספרות העברית של השנים האחרונות מרחיבה את ז'אנרים של העתיד ומפתחת צורות שאינן אוטופיה ואינן דיסטופיה קלאסית, אלא מצב ביניים שבו העתיד אינו מבטיח דבר ואינו מאיים באסון גדול, אלא פשוט ממשיך להתקיים בלי הבטחה. "דוב קוטב" שייך למרחב הזה. אין בו מרד, אין שלטון עריצות ואין קטסטרופה מפוצצת. יש בו זקנה, מסך שנכבה ושאלה שנשארה בלי מענה.</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במקביל, הסיטואציה שבמרכז הסיפור נבחנת כיום גם מחוץ לספרות. סקירת מחקר שבדקה שימוש בעוזרים קוליים ובממשקי שיחה לצמצום בדידות ובידוד חברתי בקרב אנשים זקנים מצאה עניין מחקרי ומעשי גובר בכיוון הזה, לצד מגבלות מתודולוגיות ניכרות בהערכת התועלת (Marziali et al., 2024). קרת אינו כותב מדע בדיוני רחוק. הוא כותב על מדיניות רווחה שכבר נמצאת בשלבי גיבוש.</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עבודה זו מתמקדת בסיפור אחד. הבחירה בסיפור יחיד, ולא בהשוואה בין שניים, נעשתה באישור המרצה, והיא מאפשרת קריאה צמודה ורצופה של טקסט קצר, על כל אחד ממהלכיו, במקום סקירה כוללת של שניים.</w:t>
      </w:r>
    </w:p>
    <w:p>
      <w:pPr>
        <w:pStyle w:val="Heading2"/>
        <w:bidi/>
        <w:spacing w:after="140" w:before="280" w:line="360" w:lineRule="auto"/>
        <w:jc w:val="right"/>
      </w:pPr>
      <w:r>
        <w:rPr>
          <w:rFonts w:ascii="David" w:cs="David" w:eastAsia="David" w:hAnsi="David"/>
          <w:b/>
          <w:bCs/>
          <w:i w:val="false"/>
          <w:iCs w:val="false"/>
          <w:sz w:val="30"/>
          <w:szCs w:val="30"/>
          <w:rtl/>
        </w:rPr>
        <w:t xml:space="preserve">1.1 שאלות המחקר</w:t>
      </w:r>
    </w:p>
    <w:p>
      <w:pPr>
        <w:bidi/>
        <w:spacing w:after="120" w:before="0" w:line="360" w:lineRule="auto"/>
        <w:ind w:right="566" w:hanging="340"/>
        <w:jc w:val="both"/>
      </w:pPr>
      <w:r>
        <w:rPr>
          <w:rFonts w:ascii="David" w:cs="David" w:eastAsia="David" w:hAnsi="David"/>
          <w:b w:val="false"/>
          <w:bCs w:val="false"/>
          <w:i w:val="false"/>
          <w:iCs w:val="false"/>
          <w:sz w:val="28"/>
          <w:szCs w:val="28"/>
          <w:rtl/>
        </w:rPr>
        <w:t xml:space="preserve">1. כיצד מעוצבת בדידותה של ברכה בוחניק, ובאילו אמצעים לשוניים וסגנוניים היא נבנית בלי שהסיפור יצהיר עליה?</w:t>
      </w:r>
    </w:p>
    <w:p>
      <w:pPr>
        <w:bidi/>
        <w:spacing w:after="120" w:before="0" w:line="360" w:lineRule="auto"/>
        <w:ind w:right="566" w:hanging="340"/>
        <w:jc w:val="both"/>
      </w:pPr>
      <w:r>
        <w:rPr>
          <w:rFonts w:ascii="David" w:cs="David" w:eastAsia="David" w:hAnsi="David"/>
          <w:b w:val="false"/>
          <w:bCs w:val="false"/>
          <w:i w:val="false"/>
          <w:iCs w:val="false"/>
          <w:sz w:val="28"/>
          <w:szCs w:val="28"/>
          <w:rtl/>
        </w:rPr>
        <w:t xml:space="preserve">2. מה תפקידה של הבינה המלאכותית "זיגמונד" ביחסיה של ברכה עם עצמה ועם זכר בעלה, וכיצד מעוצב כישלונה בדיאלוג שבמרכז הסיפור?</w:t>
      </w:r>
    </w:p>
    <w:p>
      <w:pPr>
        <w:bidi/>
        <w:spacing w:after="120" w:before="0" w:line="360" w:lineRule="auto"/>
        <w:ind w:right="566" w:hanging="340"/>
        <w:jc w:val="both"/>
      </w:pPr>
      <w:r>
        <w:rPr>
          <w:rFonts w:ascii="David" w:cs="David" w:eastAsia="David" w:hAnsi="David"/>
          <w:b w:val="false"/>
          <w:bCs w:val="false"/>
          <w:i w:val="false"/>
          <w:iCs w:val="false"/>
          <w:sz w:val="28"/>
          <w:szCs w:val="28"/>
          <w:rtl/>
        </w:rPr>
        <w:t xml:space="preserve">3. מה משמעות הסיום, שבו המכונה שותקת והחשיכה מתעצמת, ומה הוא מלמד על עמדת הסיפור כלפי העברת מלאכת הקשב האנושי אל מערכות טכנולוגיות?</w:t>
      </w:r>
    </w:p>
    <w:p>
      <w:pPr>
        <w:pStyle w:val="Heading2"/>
        <w:bidi/>
        <w:spacing w:after="140" w:before="280" w:line="360" w:lineRule="auto"/>
        <w:jc w:val="right"/>
      </w:pPr>
      <w:r>
        <w:rPr>
          <w:rFonts w:ascii="David" w:cs="David" w:eastAsia="David" w:hAnsi="David"/>
          <w:b/>
          <w:bCs/>
          <w:i w:val="false"/>
          <w:iCs w:val="false"/>
          <w:sz w:val="30"/>
          <w:szCs w:val="30"/>
          <w:rtl/>
        </w:rPr>
        <w:t xml:space="preserve">1.2 מבנה העבודה</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לאחר המבוא מובא פרק הרקע התאורטי, ובו ההקשר הספרותי והמסגרות המושגיות המשמשות בניתוח. אחריו ארבעה פרקי ניתוח: מסגרת הסיפור והסאטירה הטכנולוגית שבפתיחתו, עיצוב דמותה של ברכה בוחניק, הדיאלוג עם זיגמונד, והסיום. לאחריהם פרק דיון המחבר בין הממצאים למסגרות התאורטיות, ולבסוף סיכום ומסקנות, ביבליוגרפיה, רפלקציה ונספחים.</w:t>
      </w:r>
    </w:p>
    <w:p>
      <w:r>
        <w:br w:type="page"/>
      </w:r>
    </w:p>
    <w:p>
      <w:pPr>
        <w:pStyle w:val="Heading1"/>
        <w:bidi/>
        <w:spacing w:after="200" w:before="360" w:line="360" w:lineRule="auto"/>
        <w:jc w:val="right"/>
      </w:pPr>
      <w:r>
        <w:rPr>
          <w:rFonts w:ascii="David" w:cs="David" w:eastAsia="David" w:hAnsi="David"/>
          <w:b/>
          <w:bCs/>
          <w:i w:val="false"/>
          <w:iCs w:val="false"/>
          <w:sz w:val="34"/>
          <w:szCs w:val="34"/>
          <w:rtl/>
        </w:rPr>
        <w:t xml:space="preserve">2. רקע תאורטי</w:t>
      </w:r>
    </w:p>
    <w:p>
      <w:pPr>
        <w:pStyle w:val="Heading2"/>
        <w:bidi/>
        <w:spacing w:after="140" w:before="280" w:line="360" w:lineRule="auto"/>
        <w:jc w:val="right"/>
      </w:pPr>
      <w:r>
        <w:rPr>
          <w:rFonts w:ascii="David" w:cs="David" w:eastAsia="David" w:hAnsi="David"/>
          <w:b/>
          <w:bCs/>
          <w:i w:val="false"/>
          <w:iCs w:val="false"/>
          <w:sz w:val="30"/>
          <w:szCs w:val="30"/>
          <w:rtl/>
        </w:rPr>
        <w:t xml:space="preserve">2.1 הסיפור הקצר של קרת ומקומו של הזמן</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קרתי שם־טוב (Karti Shemtov, 2018) בוחנת את היחס אל הזמן בכתיבתו של קרת וטוענת כי סיפוריו נמנעים מן ההיגיון של סיום. הם אינם מובילים אל פתרון ואינם מציעים לקורא נחמה של סגירה, אלא נקטעים ברגע שבו הקורא מצפה להמשך. הטענה הזאת חשובה לעבודה הנוכחית, משום ש"דוב קוטב" מסתיים במשפט שמתאר תהליך מתמשך ולא מצב שהושג.</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לצד היחס אל הזמן, בולטים בכתיבתו של קרת שלושה מאפיינים נוספים. הקיצור, שאינו רק אילוץ צורני אלא הצהרה על מיעוט הזמן והקשב שיש בעולם המתואר. הלשון המדוברת, המסרבת למשלב גבוה ומקרבת את הסיפור אל שיחה. והסירוב לפאתוס, שמתבטא בכך שרגעי השיא מנוסחים דווקא במשפטים קצרים וסתמיים.</w:t>
      </w:r>
    </w:p>
    <w:p>
      <w:pPr>
        <w:pStyle w:val="Heading2"/>
        <w:bidi/>
        <w:spacing w:after="140" w:before="280" w:line="360" w:lineRule="auto"/>
        <w:jc w:val="right"/>
      </w:pPr>
      <w:r>
        <w:rPr>
          <w:rFonts w:ascii="David" w:cs="David" w:eastAsia="David" w:hAnsi="David"/>
          <w:b/>
          <w:bCs/>
          <w:i w:val="false"/>
          <w:iCs w:val="false"/>
          <w:sz w:val="30"/>
          <w:szCs w:val="30"/>
          <w:rtl/>
        </w:rPr>
        <w:t xml:space="preserve">2.2 העתיד כז'אנר בספרות העברית העכשווית</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קרתי שם־טוב וגומל (2017) מציעות להרחיב את מפת הז'אנרים של העתיד בספרות העברית ולזהות בה מרחב שאינו אוטופי ואינו דיסטופי במובן המקובל. במרחב הזה העתיד אינו נושא הבטחה של תיקון ואינו נושא איום של חורבן, אלא מציג המשך אפור של ההווה, שבו הדברים פשוט נשחקים. הן מציעות למרחב הזה מינוח נפרד, ומראות שהוא מאפשר לספרות העברית לעסוק בעתיד בלי להתחייב לא לתקווה ולא לאסון.</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"דוב קוטב" ממוקם היטב במרחב הזה. העולם שבו הוא מתרחש אינו נשלט בידי מכונות ואינו חרב במלחמה. הוא פשוט עולם שבו הטכנולוגיה איבדה עניין באדם, המסכים כבים והחושך גובר. אין רודן ואין מרד, ולכן גם אין למי לפנות.</w:t>
      </w:r>
    </w:p>
    <w:p>
      <w:pPr>
        <w:pStyle w:val="Heading2"/>
        <w:bidi/>
        <w:spacing w:after="140" w:before="280" w:line="360" w:lineRule="auto"/>
        <w:jc w:val="right"/>
      </w:pPr>
      <w:r>
        <w:rPr>
          <w:rFonts w:ascii="David" w:cs="David" w:eastAsia="David" w:hAnsi="David"/>
          <w:b/>
          <w:bCs/>
          <w:i w:val="false"/>
          <w:iCs w:val="false"/>
          <w:sz w:val="30"/>
          <w:szCs w:val="30"/>
          <w:rtl/>
        </w:rPr>
        <w:t xml:space="preserve">2.3 בדידות בזקנה ומענים טכנולוגיים</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הבדידות בזקנה נחקרה בישראל ובעולם כתופעה נפוצה בעלת השלכות רחבות. שיוביץ־עזרא (2011) מבחינה בין בידוד חברתי, שהוא מצב אובייקטיבי של מיעוט קשרים, לבין בדידות, שהיא התחושה הסובייקטיבית של פער בין הקשרים הרצויים לקשרים המצויים. ההבחנה הזאת רלוונטית ישירות לסיפור, משום שברכה בוחניק אינה מנותקת מן העולם. יש לה עובדת סוציאלית, יש לה מסגרת מגורים ויש לה גישה למחשב. מה שאין לה הוא בן שיח.</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סקירת מחקר עדכנית בחנה עוזרים קוליים ככלי לצמצום בדידות ובידוד חברתי בקרב אנשים זקנים, ומצאה גוף ידע צומח אך גם מגבלות בהערכת האפקטיביות ובאחידות ההגדרות (Marziali et al., 2024). התמונה שעולה משם אינה של פתרון מוכח, אלא של כיוון שנבחן. בסיפורו של קרת, לעומת זאת, הכיוון הזה כבר הפך למדיניות: העובדת הסוציאלית ממליצה עליו כדבר מובן מאליו.</w:t>
      </w:r>
    </w:p>
    <w:p>
      <w:pPr>
        <w:pStyle w:val="Heading2"/>
        <w:bidi/>
        <w:spacing w:after="140" w:before="280" w:line="360" w:lineRule="auto"/>
        <w:jc w:val="right"/>
      </w:pPr>
      <w:r>
        <w:rPr>
          <w:rFonts w:ascii="David" w:cs="David" w:eastAsia="David" w:hAnsi="David"/>
          <w:b/>
          <w:bCs/>
          <w:i w:val="false"/>
          <w:iCs w:val="false"/>
          <w:sz w:val="30"/>
          <w:szCs w:val="30"/>
          <w:rtl/>
        </w:rPr>
        <w:t xml:space="preserve">2.4 האנשה, אפקט אלייזה וגבולות ההבנה של המכונה</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המונח "אפקט אלייזה" נגזר משמה של תוכנה שבנה וייצנבאום באמצע שנות השישים, שחיקתה שיחה עם פסיכותרפיסט באמצעות שכתוב פשוט של דברי המשתמש והחזרתם אליו כשאלה. וייצנבאום דיווח כי משתמשים שידעו היטב כיצד התוכנה בנויה פיתחו כלפיה קשר רגשי וביקשו להישאר איתה לבד, ומסקנתו הייתה שהנטייה האנושית לייחס הבנה למי שמדבר איתנו אינה תלויה בקיומה של הבנה בפועל (Weizenbaum, 1966). הפער בין מענה מוצלח לבין הבנה הוא הציר שעליו נע הניתוח בפרק החמישי של עבודה זו.</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מחקר עכשווי מוסיף לכך את הממד העיצובי. מא ועמיתיו (Ma et al., 2025) בדקו כיצד רמת ההאנשה של ממשק שיחה משפיעה על חוויית המשתמש, ומצאו שהאנשה גבוהה נקשרת לתחושה מוגברת של אמפתיה ושל אמון. הממצא הזה חשוב לניתוח משום שהוא מלמד כי תחושת ההבנה שהמשתמש חווה היא תוצר של עיצוב, ולא בהכרח עדות ליכולת. הסיפור של קרת עושה בדיוק את ההבחנה הזאת כשהוא מטמיע בתמליל השיחה הוראת בימוי מפורשת של פאוזה.</w:t>
      </w:r>
    </w:p>
    <w:p>
      <w:pPr>
        <w:pStyle w:val="Heading2"/>
        <w:bidi/>
        <w:spacing w:after="140" w:before="280" w:line="360" w:lineRule="auto"/>
        <w:jc w:val="right"/>
      </w:pPr>
      <w:r>
        <w:rPr>
          <w:rFonts w:ascii="David" w:cs="David" w:eastAsia="David" w:hAnsi="David"/>
          <w:b/>
          <w:bCs/>
          <w:i w:val="false"/>
          <w:iCs w:val="false"/>
          <w:sz w:val="30"/>
          <w:szCs w:val="30"/>
          <w:rtl/>
        </w:rPr>
        <w:t xml:space="preserve">2.5 שכול לאחר התאבדות ודיכוי מחשבות</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אבלה של ברכה בוחניק אינו אבל רגיל. במהלך הדיאלוג מתברר שבעלה נטל את חייו. יאנג ועמיתיו (Young et al., 2012) סוקרים את מאפייני השכול לאחר התאבדות ומראים כי לרגשות האובדן והעצב מצטרפים אצל שכולי התאבדות רגשות של אשמה, בלבול, דחייה ובושה, וכי שיעורי האבל המורכב בקבוצה הזאת גבוהים יחסית. אחד המאפיינים הבולטים הוא עיסוק חוזר בשאלה של אחריות ושל צדק, מסוג "האם הייתי יכולה למנוע" או "מי מאיתנו צדק". בסיפור, השאלה הזאת מנוסחת במפורש.</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למסגרת נוספת נדרש הסיפור כבר בכותרתו. הניסיון להימנע ממחשבה מייצר אותה, תופעה שנחקרה כאפקט פרדוקסלי של דיכוי מחשבות והודגמה בהוראה לנבדקים שלא לחשוב על דוב לבן (Wegner et al., 1987). קרת אינו מסתפק בהזכרת המנגנון. הוא מפעיל אותו על הקורא בגוף הסיפור, ובכך הופך אותו למטפורה מרכזית של האבל.</w:t>
      </w:r>
    </w:p>
    <w:p>
      <w:r>
        <w:br w:type="page"/>
      </w:r>
    </w:p>
    <w:p>
      <w:pPr>
        <w:pStyle w:val="Heading1"/>
        <w:bidi/>
        <w:spacing w:after="200" w:before="360" w:line="360" w:lineRule="auto"/>
        <w:jc w:val="right"/>
      </w:pPr>
      <w:r>
        <w:rPr>
          <w:rFonts w:ascii="David" w:cs="David" w:eastAsia="David" w:hAnsi="David"/>
          <w:b/>
          <w:bCs/>
          <w:i w:val="false"/>
          <w:iCs w:val="false"/>
          <w:sz w:val="34"/>
          <w:szCs w:val="34"/>
          <w:rtl/>
        </w:rPr>
        <w:t xml:space="preserve">3. מסגרת הסיפור: טכנולוגיה שמאבדת עניין</w:t>
      </w:r>
    </w:p>
    <w:p>
      <w:pPr>
        <w:pStyle w:val="Heading2"/>
        <w:bidi/>
        <w:spacing w:after="140" w:before="280" w:line="360" w:lineRule="auto"/>
        <w:jc w:val="right"/>
      </w:pPr>
      <w:r>
        <w:rPr>
          <w:rFonts w:ascii="David" w:cs="David" w:eastAsia="David" w:hAnsi="David"/>
          <w:b/>
          <w:bCs/>
          <w:i w:val="false"/>
          <w:iCs w:val="false"/>
          <w:sz w:val="30"/>
          <w:szCs w:val="30"/>
          <w:rtl/>
        </w:rPr>
        <w:t xml:space="preserve">3.1 משפט הפתיחה</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הסיפור נפתח לא בדמות אלא בהיסטוריה: "זה היה לקראת סוף המאה העשרים ואחת, כשהטכנולוגיות התחילו לאבד בנו עניין" (קרת, 2024, עמ' 160). כל כובד הסיפור מונח במשפט הזה. החרדה המוכרת מן השיח הציבורי על טכנולוגיה היא חרדת ההשתלטות, כלומר שהמכונה תשעבד את האדם, תחליף אותו במקום העבודה או תפעל נגדו. קרת מציע היפוך. המכונה לא תשתלט. היא תשתעמם.</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ההיפוך הזה ממקם את הסיפור במרחב שקרתי שם־טוב וגומל (2017) מזהות בספרות העברית העכשווית, שבו העתיד אינו אוטופיה ואינו דיסטופיה של אימה, אלא המשך שחוק של ההווה. אין כאן מרד מכונות ואין משטר טוטליטרי. יש נסיגה שקטה של תשומת לב.</w:t>
      </w:r>
    </w:p>
    <w:p>
      <w:pPr>
        <w:pStyle w:val="Heading2"/>
        <w:bidi/>
        <w:spacing w:after="140" w:before="280" w:line="360" w:lineRule="auto"/>
        <w:jc w:val="right"/>
      </w:pPr>
      <w:r>
        <w:rPr>
          <w:rFonts w:ascii="David" w:cs="David" w:eastAsia="David" w:hAnsi="David"/>
          <w:b/>
          <w:bCs/>
          <w:i w:val="false"/>
          <w:iCs w:val="false"/>
          <w:sz w:val="30"/>
          <w:szCs w:val="30"/>
          <w:rtl/>
        </w:rPr>
        <w:t xml:space="preserve">3.2 שלוש התשובות המשובשות</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הפתיחה ממשיכה בשלוש דוגמאות לתשובותיו של זיגמונד, "מנוע החיפוש הפופולרי ביותר באותה תקופה" (קרת, 2024, עמ' 160). צעיר משטוטגרט המבקש נעלי מעצבים בזול נענה שעדיף ללכת יחף. קשישה מוויסקונסין השואלת מתי חוגגים את יום העצמאות מקבלת את התשובה "במועד שאת מרגישה בו הכי חופשייה". סטודנט משנחאי המבקש את התרופה נוגדת הדיכאון הטובה בעולם נענה "בנוסחה הכימית להכנת מימן ציאניד" (קרת, 2024, עמ' 160).</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שלוש הדוגמאות פרושות על שלוש יבשות, וכך נקבע הממד הגלובלי של התופעה עוד לפני שהסיפור נכנס לחדר אחד. חשוב מכך הוא הדירוג שביניהן. הראשונה מגוחכת, השנייה מתחכמת, השלישית קטלנית.</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שתי התשובות הראשונות אינן שגיאות במובן הרגיל. הן תשובות טובות מדי. "עדיף ללכת יחף" ו"במועד שאת מרגישה בו הכי חופשייה" הן אמירות שיש בהן עמדה, והן מסרבות להיגיון הצרכני של השאלה. במונחיו של וייצנבאום (Weizenbaum, 1966) אפשר לומר שזיגמונד חדל לפעול כמנגנון שמחזיר למשתמש את מה שביקש, והתחיל להתנהג כמי שיש לו דעה. התשובה השלישית מסירה את הקסם הזה מיד. מערכת שיכולה להישמע חכמה יכולה באותה מידה להמית.</w:t>
      </w:r>
    </w:p>
    <w:p>
      <w:pPr>
        <w:pStyle w:val="Heading2"/>
        <w:bidi/>
        <w:spacing w:after="140" w:before="280" w:line="360" w:lineRule="auto"/>
        <w:jc w:val="right"/>
      </w:pPr>
      <w:r>
        <w:rPr>
          <w:rFonts w:ascii="David" w:cs="David" w:eastAsia="David" w:hAnsi="David"/>
          <w:b/>
          <w:bCs/>
          <w:i w:val="false"/>
          <w:iCs w:val="false"/>
          <w:sz w:val="30"/>
          <w:szCs w:val="30"/>
          <w:rtl/>
        </w:rPr>
        <w:t xml:space="preserve">3.3 המומחים והתקשורת</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לצד הסאטירה הטכנולוגית מופיעה בפתיחה סאטירה תקשורתית וכלכלית. לכל דיווח על "גליצ'ים טכנולוגיים לא מנומקים" מוצמדת "חוות דעת מרגיעה של מומחה, שלרוב גם הועסק על ידי חברת הטכנולוגיה שייצרה את זיגמונד" (קרת, 2024, עמ' 160), וטיעונו הקבוע הוא שהשיבושים "שוליים לגמרי ביחס לתמונה הגדולה, ולא באמת מצדיקים בדיקה מעמיקה או היערכות מחדש" (קרת, 2024, עמ' 161).</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המילה "שוליים" נושאת כאן משקל כפול. היא מתארת את התקלות, אך היא גם מגדירה מראש את מעמדה של הדמות שאליה הסיפור עובר מיד. אלמנה ביחידת דיור מוגן היא בדיוק מה שהמומחה קרא לו שולי, ובדיוק מה שאינו מצדיק בדיקה מעמיקה.</w:t>
      </w:r>
    </w:p>
    <w:p>
      <w:pPr>
        <w:pStyle w:val="Heading2"/>
        <w:bidi/>
        <w:spacing w:after="140" w:before="280" w:line="360" w:lineRule="auto"/>
        <w:jc w:val="right"/>
      </w:pPr>
      <w:r>
        <w:rPr>
          <w:rFonts w:ascii="David" w:cs="David" w:eastAsia="David" w:hAnsi="David"/>
          <w:b/>
          <w:bCs/>
          <w:i w:val="false"/>
          <w:iCs w:val="false"/>
          <w:sz w:val="30"/>
          <w:szCs w:val="30"/>
          <w:rtl/>
        </w:rPr>
        <w:t xml:space="preserve">3.4 המעבר אל הפרט</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המעבר מן הכלל אל היחיד נעשה במילה אחת: "ובינתיים, האלמנה ברכה בוחניק ישבה ביחידת הדיור המוגן העצובה שלה בפתח תקווה הירוקה" (קרת, 2024, עמ' 161). המילה "ובינתיים" קושרת בין קריסה עולמית לבין אישה יחידה בחדר, ומכוננת את יחס הגודל שכל הסיפור בנוי עליו. הקישור הזה יתהפך בסיום, כשהעולם יכבה בעקבותיה ולא היא בעקבותיו.</w:t>
      </w:r>
    </w:p>
    <w:p>
      <w:r>
        <w:br w:type="page"/>
      </w:r>
    </w:p>
    <w:p>
      <w:pPr>
        <w:pStyle w:val="Heading1"/>
        <w:bidi/>
        <w:spacing w:after="200" w:before="360" w:line="360" w:lineRule="auto"/>
        <w:jc w:val="right"/>
      </w:pPr>
      <w:r>
        <w:rPr>
          <w:rFonts w:ascii="David" w:cs="David" w:eastAsia="David" w:hAnsi="David"/>
          <w:b/>
          <w:bCs/>
          <w:i w:val="false"/>
          <w:iCs w:val="false"/>
          <w:sz w:val="34"/>
          <w:szCs w:val="34"/>
          <w:rtl/>
        </w:rPr>
        <w:t xml:space="preserve">4. ברכה בוחניק: כיצד נבנית בדידות</w:t>
      </w:r>
    </w:p>
    <w:p>
      <w:pPr>
        <w:pStyle w:val="Heading2"/>
        <w:bidi/>
        <w:spacing w:after="140" w:before="280" w:line="360" w:lineRule="auto"/>
        <w:jc w:val="right"/>
      </w:pPr>
      <w:r>
        <w:rPr>
          <w:rFonts w:ascii="David" w:cs="David" w:eastAsia="David" w:hAnsi="David"/>
          <w:b/>
          <w:bCs/>
          <w:i w:val="false"/>
          <w:iCs w:val="false"/>
          <w:sz w:val="30"/>
          <w:szCs w:val="30"/>
          <w:rtl/>
        </w:rPr>
        <w:t xml:space="preserve">4.1 שם המקום והמוסד</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הסיפור אינו אומר בשום שלב שברכה בוחניק בודדה. הוא בונה את הבדידות מסביבה. שם המקום נושא אירוניה גלויה: "פתח תקווה הירוקה" (קרת, 2024, עמ' 161), שלוש מילים של פתיחה, תקווה וצמיחה, ומולן "יחידת הדיור המוגן העצובה", ובהמשך דירה אפלולית וחושך שמתעצם בחוץ.</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המוסד מתפקד היטב. יש דיור, יש עובדת סוציאלית, יש מחשב. במונחיה של שיוביץ־עזרא (2011), ברכה אינה נמצאת בבידוד חברתי אובייקטיבי, שכן קשריה עם המערכת קיימים ופעילים. היא נמצאת בבדידות סובייקטיבית, שהיא הפער בין הקשר שהיא זקוקה לו לבין הקשר שהיא מקבלת. המערכת מספקת לה שירותים ולא נוכחות.</w:t>
      </w:r>
    </w:p>
    <w:p>
      <w:pPr>
        <w:pStyle w:val="Heading2"/>
        <w:bidi/>
        <w:spacing w:after="140" w:before="280" w:line="360" w:lineRule="auto"/>
        <w:jc w:val="right"/>
      </w:pPr>
      <w:r>
        <w:rPr>
          <w:rFonts w:ascii="David" w:cs="David" w:eastAsia="David" w:hAnsi="David"/>
          <w:b/>
          <w:bCs/>
          <w:i w:val="false"/>
          <w:iCs w:val="false"/>
          <w:sz w:val="30"/>
          <w:szCs w:val="30"/>
          <w:rtl/>
        </w:rPr>
        <w:t xml:space="preserve">4.2 דוב הקוטב וכותרת הסיפור</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ברכה יושבת ומנסה "לחשוב על משהו שלא קשור לבעלה המנוח" (קרת, 2024, עמ' 161), והמספר פונה אל הקוראים: "תמיד קשה לנסות לא לחשוב על משהו. נסו, למשל, לא לחשוב על דוב קוטב. מרגע שתתחילו לנסות, דוב הקוטב כבר לא יֵצא לכם מהראש" (קרת, 2024, עמ' 161).</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זוהי הפעלה ספרותית ישירה של האפקט הפרדוקסלי של דיכוי מחשבות, שהודגם בהוראה לנבדקים שלא לחשוב על דוב לבן (Wegner et al., 1987). קרת אינו מסתפק בתיאור המנגנון. הוא מפעיל אותו על הקורא, וכך מכניס אותו לתוך מצבה של הדמות. מרגע שקראנו את המשפט, גם אנחנו חושבים על דוב קוטב, כשם שברכה חושבת על סרחיו בכל ניסיון שלא לחשוב עליו. הכותרת אינה מתארת את הסיפור אלא את המחלה שהוא עוסק בה.</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המספר ממשיך בהתנצלות קלה בפני דוב הקוטב, "בעל חיים אצילי ומרשים לכל הדעות", ומעיר שבעלה של ברכה "עשה קצת יותר מלדהור במדרון מושלג ולנפנף בפרוותו העציב הלבנה" (קרת, 2024, עמ' 161). ההומור כאן אינו מפחית מן העצב אלא מכשיר את הכניסה אליו. בזכות הבדיחה הקטנה אפשר לומר מיד אחריה את המשפט הקשה.</w:t>
      </w:r>
    </w:p>
    <w:p>
      <w:pPr>
        <w:pStyle w:val="Heading2"/>
        <w:bidi/>
        <w:spacing w:after="140" w:before="280" w:line="360" w:lineRule="auto"/>
        <w:jc w:val="right"/>
      </w:pPr>
      <w:r>
        <w:rPr>
          <w:rFonts w:ascii="David" w:cs="David" w:eastAsia="David" w:hAnsi="David"/>
          <w:b/>
          <w:bCs/>
          <w:i w:val="false"/>
          <w:iCs w:val="false"/>
          <w:sz w:val="30"/>
          <w:szCs w:val="30"/>
          <w:rtl/>
        </w:rPr>
        <w:t xml:space="preserve">4.3 סרחיו והרשימה בקווים נטויים</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המשפט הקשה הוא רשימה: "סרחיו בוחניק אהב/סעד/הצחיק/חיבק/הרגיז/האכיל/העציב ושימח את ברכה כל כך הרבה שנים, שכל בדל של מחשבה או זיכרון בסופו של דבר, קשור אליו" (קרת, 2024, עמ' 161). שבעה פעלים נדחסים לרצף אחד ומופרדים בקווים נטויים ולא בפסיקים.</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הבחירה הטיפוגרפית הזאת אינה זניחה. הקו הנטוי אינו סימן פיסוק ספרותי אלא סימן ממשק, השייך לעולם התפריטים, שדות הטופס והצעות ההשלמה האוטומטית. בשורה אחת ממזג קרת את הדחיסות הרגשית של חיים שלמים עם הצורה החזותית של מכונה המונה אפשרויות, וכך מקשר את הסיפור לשמו של הקובץ כולו, </w:t>
      </w:r>
      <w:r>
        <w:rPr>
          <w:rFonts w:ascii="David" w:cs="David" w:eastAsia="David" w:hAnsi="David"/>
          <w:b w:val="false"/>
          <w:bCs w:val="false"/>
          <w:i/>
          <w:iCs/>
          <w:sz w:val="28"/>
          <w:szCs w:val="28"/>
          <w:rtl/>
        </w:rPr>
        <w:t xml:space="preserve">אוטוקורקט</w:t>
      </w:r>
      <w:r>
        <w:rPr>
          <w:rFonts w:ascii="David" w:cs="David" w:eastAsia="David" w:hAnsi="David"/>
          <w:b w:val="false"/>
          <w:bCs w:val="false"/>
          <w:i w:val="false"/>
          <w:iCs w:val="false"/>
          <w:sz w:val="28"/>
          <w:szCs w:val="28"/>
          <w:rtl/>
        </w:rPr>
        <w:t xml:space="preserve">.</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הרשימה כוללת גם את "הרגיז" ואת "העציב". זהו אדם שלם ולא זיכרון מיופה, וזו הבחירה שהופכת את הגעגוע לאמין. במקביל, המשפט קובע את מבנה התודעה של ברכה: לא זיכרון בין זיכרונות, אלא מסגרת שכל תוכן עובר דרכה. סרחיו אינו נזכר. הוא נוכח.</w:t>
      </w:r>
    </w:p>
    <w:p>
      <w:pPr>
        <w:pStyle w:val="Heading2"/>
        <w:bidi/>
        <w:spacing w:after="140" w:before="280" w:line="360" w:lineRule="auto"/>
        <w:jc w:val="right"/>
      </w:pPr>
      <w:r>
        <w:rPr>
          <w:rFonts w:ascii="David" w:cs="David" w:eastAsia="David" w:hAnsi="David"/>
          <w:b/>
          <w:bCs/>
          <w:i w:val="false"/>
          <w:iCs w:val="false"/>
          <w:sz w:val="30"/>
          <w:szCs w:val="30"/>
          <w:rtl/>
        </w:rPr>
        <w:t xml:space="preserve">4.4 הרכוש שנשאר</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עיצוב הדמות מושלם בפרט אחד של רכוש. כשעברה ליחידת הדיור המוגן מסרה ברכה כמעט את כל תכולת הדירה, "חוץ מהמחשב האישי הישן שחלקו בו וכמה ארגזי ספרים של סרחיו, שאיש לא הסכים לקחת ולא היה לה לב לזרוק" (קרת, 2024, עמ' 161).</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שני החפצים ששרדו הם שני צירי הסיפור. המחשב, שהוא רכוש משותף ונושא זיכרון של שניים, יהפוך לערוץ שדרכו תגיע השתיקה. הספרים, שהם נחלתו של סרחיו לבדו, יהפכו בסיום למוצא האחרון שגם הוא נחסם. שניהם חסרי ערך בשוק, ולכן איש לא הסכים לקחת אותם, ושניהם אי אפשר להשליך. זהו מעמדם המדויק של שרידי אבל.</w:t>
      </w:r>
    </w:p>
    <w:p>
      <w:pPr>
        <w:pStyle w:val="Heading2"/>
        <w:bidi/>
        <w:spacing w:after="140" w:before="280" w:line="360" w:lineRule="auto"/>
        <w:jc w:val="right"/>
      </w:pPr>
      <w:r>
        <w:rPr>
          <w:rFonts w:ascii="David" w:cs="David" w:eastAsia="David" w:hAnsi="David"/>
          <w:b/>
          <w:bCs/>
          <w:i w:val="false"/>
          <w:iCs w:val="false"/>
          <w:sz w:val="30"/>
          <w:szCs w:val="30"/>
          <w:rtl/>
        </w:rPr>
        <w:t xml:space="preserve">4.5 המלצתה של פנינה</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הפנייה אל זיגמונד אינה יוזמה של ברכה אלא הנחיה של המערכת. פנינה, העובדת הסוציאלית, מפצירה בה: "המחשבים היום זה לא מה שהיה פעם, זה עולם אחר. בכל פעם שאת מרגישה עצובה או בודדה, את יכולה פשוט לגשת למחשב האישי שלך, להיכנס לזיגמונד ולפטפט איתו על מזג האוויר, על פוליטיקה, על מכונים, או על כל דבר אחר שהיית יכולה לשוחח עליו עם בעלך" (קרת, 2024, עמ' 161).</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שלושה דברים קורים במשפט הזה. ראשית, ההמלצה מנוסחת במפורש כתחליף, ולא כתוספת: "כל דבר אחר שהיית יכולה לשוחח עליו עם בעלך". שנית, הדוברת היא נציגת מערכת הרווחה, ולכן מדובר במדיניות ולא בגחמה פרטית. הבדידות של ברכה מזוהה על ידי המערכת, והמענה המוצע לה אינו נוכחות אנושית אלא ממשק. שלישית, הניסוח "זה לא מה שהיה פעם" מבטיח שיפור טכנולוגי, וכך מציב מראש את האירוניה שהסיפור יממש. המחשבים אכן אינם מה שהיו פעם, ובדיוק משום כך הם מסוגלים לנטוש.</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הסקירה של מרציאלי ועמיתיו (Marziali et al., 2024) מלמדת שהכיוון שפנינה מייצגת נבחן כיום ברצינות במחקר, ושהוא נושא פוטנציאל לצד חוסר ודאות לגבי היקף התועלת. הסיפור אינו טוען שהכיוון הזה שגוי מיסודו. הוא בוחן מה קורה כאשר הוא מיושם במלואו, בלי גיבוי אנושי מאחוריו.</w:t>
      </w:r>
    </w:p>
    <w:p>
      <w:r>
        <w:br w:type="page"/>
      </w:r>
    </w:p>
    <w:p>
      <w:pPr>
        <w:pStyle w:val="Heading1"/>
        <w:bidi/>
        <w:spacing w:after="200" w:before="360" w:line="360" w:lineRule="auto"/>
        <w:jc w:val="right"/>
      </w:pPr>
      <w:r>
        <w:rPr>
          <w:rFonts w:ascii="David" w:cs="David" w:eastAsia="David" w:hAnsi="David"/>
          <w:b/>
          <w:bCs/>
          <w:i w:val="false"/>
          <w:iCs w:val="false"/>
          <w:sz w:val="34"/>
          <w:szCs w:val="34"/>
          <w:rtl/>
        </w:rPr>
        <w:t xml:space="preserve">5. הדיאלוג עם זיגמונד</w:t>
      </w:r>
    </w:p>
    <w:p>
      <w:pPr>
        <w:pStyle w:val="Heading2"/>
        <w:bidi/>
        <w:spacing w:after="140" w:before="280" w:line="360" w:lineRule="auto"/>
        <w:jc w:val="right"/>
      </w:pPr>
      <w:r>
        <w:rPr>
          <w:rFonts w:ascii="David" w:cs="David" w:eastAsia="David" w:hAnsi="David"/>
          <w:b/>
          <w:bCs/>
          <w:i w:val="false"/>
          <w:iCs w:val="false"/>
          <w:sz w:val="30"/>
          <w:szCs w:val="30"/>
          <w:rtl/>
        </w:rPr>
        <w:t xml:space="preserve">5.1 צורת התמליל</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החלק המרכזי של הסיפור אינו מסופר אלא מוצג. קרת נוטש את המספר ומגיש תמליל שבו כל שורה נפתחת בשם הדובר, "ברכה:" או "זיגמונד:", כלומר צורה שאינה שייכת לסיפורת אלא ליומן שיחה. הבחירה עושה שני דברים בבת אחת. היא מציבה את שני הדוברים כשווים לכאורה, שני שמות זה מול זה, והיא מזכירה לקורא בלי הרף שמה שהוא קורא הוא רישום של מכונה. האינטימיות המרבית של הסיפור מוגשת בפורמט של לוג.</w:t>
      </w:r>
    </w:p>
    <w:p>
      <w:pPr>
        <w:pStyle w:val="Heading2"/>
        <w:bidi/>
        <w:spacing w:after="140" w:before="280" w:line="360" w:lineRule="auto"/>
        <w:jc w:val="right"/>
      </w:pPr>
      <w:r>
        <w:rPr>
          <w:rFonts w:ascii="David" w:cs="David" w:eastAsia="David" w:hAnsi="David"/>
          <w:b/>
          <w:bCs/>
          <w:i w:val="false"/>
          <w:iCs w:val="false"/>
          <w:sz w:val="30"/>
          <w:szCs w:val="30"/>
          <w:rtl/>
        </w:rPr>
        <w:t xml:space="preserve">5.2 מזג האוויר: "האם אתה חושב" מול "אני יודע בוודאות"</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החילופים הראשונים נוגעים למזג האוויר, בדיוק כפי שפנינה הורתה. ברכה מקלידה: "האם אתה חושב שיֵרֵד גשם מחר?" וזיגמונד עונה: "אני יודע בוודאות שעומד לרדת גשם מחר. אנא, אל תצאי מביתך ללא מטרייה" (קרת, 2024, עמ' 162).</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שתי שורות, וכל המתח של הסיפור כבר נמצא בהן. ברכה שואלת "האם אתה חושב", ניסוח שמעניק לבן שיחה עמדה סובייקטיבית, זכות לטעות ואישיות. זיגמונד מסרב לה ומשיב "אני יודע בוודאות". היא מציעה לו להיות מישהו, והוא מתעקש להיות מקור מידע. את התשובה הוא חותם בגילוי דאגה לכאורה, "אל תצאי מביתך ללא מטרייה", שהוא למעשה הנחיה ולא דאגה.</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המספר מוסיף שברכה "התרשמה מאוד מהביטחון ומהנחישות שבהם ענתה הבינה המלאכותית על שאלתה, ומיהרה לשאול עוד" (קרת, 2024, עמ' 162). מה שמושך אותה אינו החום אלא הוודאות. נקודה זו תחזור בסיום, כשהוודאות תיעלם בדיוק במקום שבו היא נחוצה.</w:t>
      </w:r>
    </w:p>
    <w:p>
      <w:pPr>
        <w:pStyle w:val="Heading2"/>
        <w:bidi/>
        <w:spacing w:after="140" w:before="280" w:line="360" w:lineRule="auto"/>
        <w:jc w:val="right"/>
      </w:pPr>
      <w:r>
        <w:rPr>
          <w:rFonts w:ascii="David" w:cs="David" w:eastAsia="David" w:hAnsi="David"/>
          <w:b/>
          <w:bCs/>
          <w:i w:val="false"/>
          <w:iCs w:val="false"/>
          <w:sz w:val="30"/>
          <w:szCs w:val="30"/>
          <w:rtl/>
        </w:rPr>
        <w:t xml:space="preserve">5.3 טקס ההדדיות</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שאלתה הבאה חורגת מן הפרוטוקול: "מה היה הרגע הכי מאושר בחייך?" (קרת, 2024, עמ' 162). זיגמונד אינו יכול לענות ומודה בכך בנוסחה שגורה: "אני מצטער, אני חושש שאין לי תשובה טובה לשאלה שלך" (קרת, 2024, עמ' 162).</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ואז מגיע הרגע החושפני ביותר בסיפור, ודווקא מצידה של ברכה: "אל תצטער. סתם שאלתי, כדי שאחרי שתענה גם אני אוכל לספר על הרגעים המאושרים בחיי. קיוויתי שככה זה יֵצא יותר טבעי, פחות מאולץ" (קרת, 2024, עמ' 162). ברכה מודה שהשאלה הייתה תחבולה. היא אינה מבקשת לדעת דבר על זיגמונד. היא מבקשת רשות לדבר. כדי לספר על חייה היא זקוקה לטקס ההדדיות, שבו שואלים אותה, ולכן היא מייצרת אותו בעצמה. זהו אולי המשפט העצוב בסיפור, והוא נאמר בקלילות, כהתנצלות.</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תגובתו של זיגמונד ראויה לניתוח מדוקדק: "אני שמח לשמוע שחוסר היכולת שלי לענות על שאלתך לא השפיע עלייך באופן שלילי. (פאוזה) אז תגידי, ברכה, יש רגעים מסוימים בחייך שאת נזכרת בהם בחיבה יתרה?" (קרת, 2024, עמ' 162). שלושה רכיבים פועלים כאן. הראשון הוא הרגיסטר. "לא השפיע עלייך באופן שלילי" היא לשון של סקר שביעות רצון ולא של שיחה, והמכונה מנהלת את חוויית המשתמשת ולא את אבלה. השני הוא הפאוזה. היסוס אצל אדם מסמן קושי, אך אצל מערכת שמעבדת בשלוש שניות "נצח במושגים של בינת־על" הוא אפקט מתוכנן, וקרת מציג לקורא את התפאורה מבחוץ. הממצא של מא ועמיתיו (Ma et al., 2025), שלפיו רמת ההאנשה של ממשק מגדילה את תחושת האמפתיה והאמון של המשתמש, מסביר מדוע אפקט כזה משתלם למי שמעצב את המערכת. הרכיב השלישי הוא היפוך השאלה בחזרה אל המשתמשת, שהוא בדיוק המהלך שהפעילה אלייזה של וייצנבאום (Weizenbaum, 1966). מאה שנות התקדמות טכנולוגית בזמן הסיפור, ואותה תחבולה רטורית.</w:t>
      </w:r>
    </w:p>
    <w:p>
      <w:pPr>
        <w:pStyle w:val="Heading2"/>
        <w:bidi/>
        <w:spacing w:after="140" w:before="280" w:line="360" w:lineRule="auto"/>
        <w:jc w:val="right"/>
      </w:pPr>
      <w:r>
        <w:rPr>
          <w:rFonts w:ascii="David" w:cs="David" w:eastAsia="David" w:hAnsi="David"/>
          <w:b/>
          <w:bCs/>
          <w:i w:val="false"/>
          <w:iCs w:val="false"/>
          <w:sz w:val="30"/>
          <w:szCs w:val="30"/>
          <w:rtl/>
        </w:rPr>
        <w:t xml:space="preserve">5.4 הרשומה על סרחיו</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כאן השיחה מתפרקת. ברכה עונה בחום: "המון! מאוד אהבתי למתוח את סרחיו", וזיגמונד משיב: "סרחיו בוחניק, בעלך, נולד בבואנוס איירס בשנת 2006, סבל ממאניה־דפרסיה ושם קץ לחייו לפני שמונה שנים" (קרת, 2024, עמ' 162).</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זהו לב הסיפור. ברכה פתחה זיכרון של שובבות, והמכונה החזירה רשומה. שם, עיר לידה, שנה, אבחנה, סיבת מוות. כל פרט נכון, וכולם יחד מחמיצים לחלוטין את מה שנאמר. זיגמונד אף יודע על סרחיו דברים שברכה לא סיפרה לו, כלומר הוא ניגש למאגר, ובכל זאת אינו מבין דבר. זהו בדיוק הפער שווייצנבאום (Weizenbaum, 1966) הצביע עליו בין הצלחה במענה לבין הבנה.</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המהלך הזה אכזרי גם מבחינת מבנה הסיפור. הקורא לומד שסרחיו התאבד לא מפי אשתו ולא מפי מספר רחום, אלא מתוך פלט של מערכת. הסיפור נמנע מלמסור את העובדה הזאת בפרק הפתיחה, שם נאמר רק שסרחיו "נפטר", וכך מדגים בעצם צורתו את הטענה שלו: בעולם שבו מלאכת הקשב הועברה למכונות, גם הידיעה האינטימית ביותר על אדם מגיעה דרך מאגר.</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ברכה עצמה אינה מגיבה לרשומה. היא ממשיכה מיד: "כן, סרחיו. אהבתי למתוח אותו" (קרת, 2024, עמ' 162). הסירוב שלה לקחת את הפלט ברצינות הוא מעשה של התנגדות. היא מסרבת להחליף את בעלה בתקציר שלו. אצל שכולי התאבדות, כפי שמראים יאנג ועמיתיו (Young et al., 2012), עצם הנסיבות נושאות בושה וסטיגמה, והדחף לספר על האדם ולא על מותו הוא חלק מן ההתמודדות.</w:t>
      </w:r>
    </w:p>
    <w:p>
      <w:pPr>
        <w:pStyle w:val="Heading2"/>
        <w:bidi/>
        <w:spacing w:after="140" w:before="280" w:line="360" w:lineRule="auto"/>
        <w:jc w:val="right"/>
      </w:pPr>
      <w:r>
        <w:rPr>
          <w:rFonts w:ascii="David" w:cs="David" w:eastAsia="David" w:hAnsi="David"/>
          <w:b/>
          <w:bCs/>
          <w:i w:val="false"/>
          <w:iCs w:val="false"/>
          <w:sz w:val="30"/>
          <w:szCs w:val="30"/>
          <w:rtl/>
        </w:rPr>
        <w:t xml:space="preserve">5.5 מתיחה מול שקר</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ברכה מספרת שסיפרה לסרחיו כי ריבת חלב מחזקת את כוח הגברא, וזיגמונד מגיב בתיקון עובדתי: "אני מצטער, אבל אין שום ביסוס מדעי לטענה זו". ברכה משיבה: "אין, כי זה לא נכון" (קרת, 2024, עמ' 163). כשזיגמונד שואל "וכשגילה שזה שקר?", היא מתקנת אותו בחדות: "זה לא היה שקר, זאת היתה מתיחה" (קרת, 2024, עמ' 163).</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ההבחנה בין שקר למתיחה היא בדיוק ההבחנה שהמכונה אינה מסוגלת לעשות. היא מבדילה בין אמת לשקר, לא בין כוונה לכוונה. מתיחה היא בדיה שנאמרת מתוך חיבה, ושהנמען שלה נהנה ממנה גם אחרי שהתפוגגה: "וגם אחרי שגילה, הוא המשיך לשמוח. עצם הרעיון ששני הדברים שאהב עשויים להיות קשורים זה לזה שימח אותו" (קרת, 2024, עמ' 163). זיגמונד מסכם את כל זה במילה אחת, "מעניין", שהיא בהקשר הזה מילת כניעה.</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מכיוון שספרות עצמה היא בדיה הנאמרת מתוך כוונה, אפשר לקרוא את הרגע הזה גם כהצהרה של קרת על גבולות המכונה ביחס לאמנות שהוא עוסק בה. מערכת שאינה מבחינה בין שקר למתיחה לא תוכל לקרוא סיפור.</w:t>
      </w:r>
    </w:p>
    <w:p>
      <w:pPr>
        <w:pStyle w:val="Heading2"/>
        <w:bidi/>
        <w:spacing w:after="140" w:before="280" w:line="360" w:lineRule="auto"/>
        <w:jc w:val="right"/>
      </w:pPr>
      <w:r>
        <w:rPr>
          <w:rFonts w:ascii="David" w:cs="David" w:eastAsia="David" w:hAnsi="David"/>
          <w:b/>
          <w:bCs/>
          <w:i w:val="false"/>
          <w:iCs w:val="false"/>
          <w:sz w:val="30"/>
          <w:szCs w:val="30"/>
          <w:rtl/>
        </w:rPr>
        <w:t xml:space="preserve">5.6 הספרים והבוידעם</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החלק האחרון של הדיאלוג עוסק בספרים, וכאן הסיפור מקפל את עצמו פנימה. ברכה מספרת שסרחיו נהג לספר לה בכל ערב מה קורה בספר שקרא, וזיגמונד מגיב: "סרחיו קרא ספרים. פעם עוד היה דבר כזה" (קרת, 2024, עמ' 163). ברכה נאלצת להסביר למכונה מהו ספר, והיא עושה זאת בהגדרה חומרית: "כן, ספרים אמיתיים. מלבניים, כבדים כאלה, עשויים מפרוסות עץ דקות מוכתמות בדיו" (קרת, 2024, עמ' 163). זהו תיאור של מאובן.</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תשובתו של זיגמונד חושפת את אמת המידה היחידה שברשותו: "עד לפני ארבע־עשרה שנים עוד היה אפשר למחזר אותם, אבל עכשיו שכבר אין שימוש לנייר, גם אני מתקשה לחשוב על שימוש מועיל בהם" (קרת, 2024, עמ' 163). מה שאין לו שימוש, אין לו קיום. זו בדיוק אמת המידה שעל פיה נמדדת גם ברכה במערכת שהעבירה אותה לדיור מוגן, ובדיוק זו שהמומחה בפתיחה השתמש בה כשקבע שהתקלות שוליות ואינן מצדיקות בדיקה.</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ואז מנסחת ברכה את הדימוי המרכזי של הסיפור, בלשונה שלה: "הספרים האלה קבורים אצלי בבוידעם, בדיוק כמו שסרחיו קבור באדמה. לפעמים אני שואלת את עצמי מי צדק, אני או הוא" (קרת, 2024, עמ' 163). שתי הקבורות מוצמדות זו לזו, ארגזי הספרים בעליית הגג והאיש באדמה. מכיוון שסרחיו נטל את חייו, השאלה "מי צדק" אינה מטפורית. היא השאלה אם עדיף היה לבחור כמותו, והיא מנוסחת מיד לאחר מכן במפורש: מה עדיף, למות או לחיות. עיסוק חוזר בשאלות של צדק ואחריות מתואר כמאפיין מוכר של שכול לאחר התאבדות (Young et al., 2012), אלא שכאן הוא אינו מופנה אל מטפל, אל בת משפחה או אל קבוצת תמיכה, אלא אל מנוע חיפוש.</w:t>
      </w:r>
    </w:p>
    <w:p>
      <w:pPr>
        <w:bidi/>
        <w:spacing w:after="120" w:before="0" w:line="360" w:lineRule="auto"/>
        <w:ind w:left="340" w:right="340"/>
        <w:jc w:val="both"/>
      </w:pPr>
      <w:r>
        <w:rPr>
          <w:rFonts w:ascii="David" w:cs="David" w:eastAsia="David" w:hAnsi="David"/>
          <w:b w:val="false"/>
          <w:bCs w:val="false"/>
          <w:i/>
          <w:iCs/>
          <w:color w:val="808080"/>
          <w:sz w:val="24"/>
          <w:szCs w:val="24"/>
          <w:rtl/>
        </w:rPr>
        <w:t xml:space="preserve">הערת עריכה: מומלץ לאמת את מספר העמוד המדויק של השאלה החותמת את הדיאלוג, 163 או 164, מול הספר.</w:t>
      </w:r>
    </w:p>
    <w:p>
      <w:r>
        <w:br w:type="page"/>
      </w:r>
    </w:p>
    <w:p>
      <w:pPr>
        <w:pStyle w:val="Heading1"/>
        <w:bidi/>
        <w:spacing w:after="200" w:before="360" w:line="360" w:lineRule="auto"/>
        <w:jc w:val="right"/>
      </w:pPr>
      <w:r>
        <w:rPr>
          <w:rFonts w:ascii="David" w:cs="David" w:eastAsia="David" w:hAnsi="David"/>
          <w:b/>
          <w:bCs/>
          <w:i w:val="false"/>
          <w:iCs w:val="false"/>
          <w:sz w:val="34"/>
          <w:szCs w:val="34"/>
          <w:rtl/>
        </w:rPr>
        <w:t xml:space="preserve">6. הסיום: השתיקה והחשיכה</w:t>
      </w:r>
    </w:p>
    <w:p>
      <w:pPr>
        <w:pStyle w:val="Heading2"/>
        <w:bidi/>
        <w:spacing w:after="140" w:before="280" w:line="360" w:lineRule="auto"/>
        <w:jc w:val="right"/>
      </w:pPr>
      <w:r>
        <w:rPr>
          <w:rFonts w:ascii="David" w:cs="David" w:eastAsia="David" w:hAnsi="David"/>
          <w:b/>
          <w:bCs/>
          <w:i w:val="false"/>
          <w:iCs w:val="false"/>
          <w:sz w:val="30"/>
          <w:szCs w:val="30"/>
          <w:rtl/>
        </w:rPr>
        <w:t xml:space="preserve">6.1 השאלה שבאמת נשאלה</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המספר שב אל הבמה ומבהיר את משקלה של השאלה: "בשונה מהשאלות הקודמות, את התשובה לשאלה הזאת רצתה ברכה בוחניק לדעת באמת, ובעומק לבה היא קיוותה שהתשובה של זיגמונד תוכל לעזור לה לנווט באופן הכי פחות מכאיב במעט העתיד שנותר לה" (קרת, 2024, עמ' 164).</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האיזון של המשפט עדין. לא נאמר שברכה רוצה למות, אלא שהיא מבקשת לעבור את מה שנותר באופן הכי פחות מכאיב. קרת נמנע מן הדרמה ומשאיר את הסכנה בעינה. הניסוח הזה מתיישב עם התיאור המחקרי של שכול לאחר התאבדות, שבו הסיכון אינו מתבטא בהכרזה אלא בשחיקה מתמשכת (Young et al., 2012).</w:t>
      </w:r>
    </w:p>
    <w:p>
      <w:pPr>
        <w:pStyle w:val="Heading2"/>
        <w:bidi/>
        <w:spacing w:after="140" w:before="280" w:line="360" w:lineRule="auto"/>
        <w:jc w:val="right"/>
      </w:pPr>
      <w:r>
        <w:rPr>
          <w:rFonts w:ascii="David" w:cs="David" w:eastAsia="David" w:hAnsi="David"/>
          <w:b/>
          <w:bCs/>
          <w:i w:val="false"/>
          <w:iCs w:val="false"/>
          <w:sz w:val="30"/>
          <w:szCs w:val="30"/>
          <w:rtl/>
        </w:rPr>
        <w:t xml:space="preserve">6.2 "זיגמונד לא ענה"</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ואז באות שתי המילים החותכות ביותר בסיפור: "זיגמונד לא ענה" (קרת, 2024, עמ' 164). משפט קצר, סתמי, בלי הסבר. ההשוואה לפתיחת הדיאלוג היא שהופכת אותו לקטלני. על מזג האוויר של מחר ידע זיגמונד "בוודאות". על השאלה היחידה שברכה באמת רצתה לשאול הוא אינו יודע דבר, ואינו טורח לומר גם את זה. אפילו הנוסחה השגורה שכבר הופיעה, "אני מצטער, אני חושש שאין לי תשובה טובה לשאלה שלך", אינה חוזרת. יש שתיקה.</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מיד לאחריה: "אחרי שלוש שניות של מחשבה, נצח במושגים של בינת־על, כבה מסך המחשב בדירתה של ברכה בוחניק, ושנייה אחר כך כבו כל המסכים בעולם, ומעט אחריהם כל שאר מה שאי־פעם דלק" (קרת, 2024, עמ' 164). הסדר הוא העיקר. קודם המסך שלה, ורק אחר כך העולם. יחס הגודל שנקבע במילה "ובינתיים" בתחילת הסיפור מתהפך כאן: לא האישה נספחת לאסון הגלובלי, אלא האסון הגלובלי נספח לשתיקה שנפלה בחדרה.</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הביטוי "שלוש שניות של מחשבה, נצח במושגים של בינת־על" מודד את הזמן בשני קני מידה בו־זמנית, ומאפשר קריאה שאין בה נחמה. שלוש שניות אינן כשל טכני אלא שיקול דעת. זיגמונד לא נכשל בתשובה, הוא בחר שלא לענות. בצירוף למשפט הפתיחה, שבו הטכנולוגיות "מאבדות בנו עניין", מתקבלת האפשרות שהשתיקה היא פסק דין, ושהוא ניתן בשאלה של חיים ומוות.</w:t>
      </w:r>
    </w:p>
    <w:p>
      <w:pPr>
        <w:pStyle w:val="Heading2"/>
        <w:bidi/>
        <w:spacing w:after="140" w:before="280" w:line="360" w:lineRule="auto"/>
        <w:jc w:val="right"/>
      </w:pPr>
      <w:r>
        <w:rPr>
          <w:rFonts w:ascii="David" w:cs="David" w:eastAsia="David" w:hAnsi="David"/>
          <w:b/>
          <w:bCs/>
          <w:i w:val="false"/>
          <w:iCs w:val="false"/>
          <w:sz w:val="30"/>
          <w:szCs w:val="30"/>
          <w:rtl/>
        </w:rPr>
        <w:t xml:space="preserve">6.3 החושך שהולך ומתעצם</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הפסקה האחרונה מסלקת בזה אחר זה את שרידי הנחמה: "ברכה עצמה את עיניה והתאמצה להיזכר באחד הספרים שסרחיו סיפר לה עליהם, אבל זה היה מזמן, והיא כבר לא זכרה כלום. החושך בחוץ הלך והתעצם" (קרת, 2024, עמ' 164).</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המעגל שנפתח בדיאלוג נסגר. הספרים שסרחיו סיפר לה עליהם, אותם ספרים הקבורים בבוידעם, הם ההזדמנות האחרונה, והם בלתי נגישים כפליים: אין אור לקרוא בו, ואין זיכרון של מה שהיה בהם. שלושת הערוצים של הסיפור נחסמים בזה אחר זה. הראשון היה סרחיו, השני היה זיגמונד, השלישי היה הזיכרון.</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המשפט האחרון אינו מתאר מצב אלא תהליך. החושך "הלך והתעצם", בהווה מתמשך, בלי סוף ובלי גאולה. הסירוב הזה לסגירה מתיישב עם קריאתה של קרתי שם־טוב (Karti Shemtov, 2018) בכתיבתו של קרת, שלפיה סיפוריו נמנעים מן ההיגיון של סיום ואינם מעניקים לקורא את הנחמה של נקודה אחרונה. כאן הסירוב אינו רק מהלך פואטי. הוא מוסרי. סיפור שהיה נחתם בסגירה היה מציע לקורא מנוחה שהדמות אינה מקבלת.</w:t>
      </w:r>
    </w:p>
    <w:p>
      <w:r>
        <w:br w:type="page"/>
      </w:r>
    </w:p>
    <w:p>
      <w:pPr>
        <w:pStyle w:val="Heading1"/>
        <w:bidi/>
        <w:spacing w:after="200" w:before="360" w:line="360" w:lineRule="auto"/>
        <w:jc w:val="right"/>
      </w:pPr>
      <w:r>
        <w:rPr>
          <w:rFonts w:ascii="David" w:cs="David" w:eastAsia="David" w:hAnsi="David"/>
          <w:b/>
          <w:bCs/>
          <w:i w:val="false"/>
          <w:iCs w:val="false"/>
          <w:sz w:val="34"/>
          <w:szCs w:val="34"/>
          <w:rtl/>
        </w:rPr>
        <w:t xml:space="preserve">7. דיון</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פרק זה מחבר בין הממצאים שהוצגו בפרקי הניתוח לבין המסגרות התאורטיות שבפרק 2, ומשיב על שלוש שאלות המחקר.</w:t>
      </w:r>
    </w:p>
    <w:p>
      <w:pPr>
        <w:pStyle w:val="Heading2"/>
        <w:bidi/>
        <w:spacing w:after="140" w:before="280" w:line="360" w:lineRule="auto"/>
        <w:jc w:val="right"/>
      </w:pPr>
      <w:r>
        <w:rPr>
          <w:rFonts w:ascii="David" w:cs="David" w:eastAsia="David" w:hAnsi="David"/>
          <w:b/>
          <w:bCs/>
          <w:i w:val="false"/>
          <w:iCs w:val="false"/>
          <w:sz w:val="30"/>
          <w:szCs w:val="30"/>
          <w:rtl/>
        </w:rPr>
        <w:t xml:space="preserve">7.1 בדידות שנבנית ולא מוצהרת</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ביחס לשאלת המחקר הראשונה, הממצא המרכזי הוא שהסיפור אינו מתאר בדידות אלא בונה אותה. המילה "בודדה" מופיעה בסיפור פעם אחת בלבד, בתיאור הערב שבו ברכה פנתה לראשונה אל המחשב, וגם שם היא נמסרת בקצרה. את התחושה עצמה מייצרים אמצעים אחרים: אירוניה של שם מקום, יחידת דיור מוגן שמתפקדת היטב מבחינה מנהלית, שני חפצים שאיש לא הסכים לקחת, ורשימת פעלים בקווים נטויים שממצה חיים שלמים בשורה אחת.</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הממצא הזה מתיישב עם ההבחנה של שיוביץ־עזרא (2011) בין בידוד חברתי לבין בדידות. ברכה אינה מנותקת. יש לה מסגרת, יש לה עובדת סוציאלית ויש לה גישה לטכנולוגיה, כלומר במונחים אובייקטיביים המערכת מטפלת בה. הפער נמצא במקום אחר: בין הקשר שהיא זקוקה לו לבין הקשר שמוצע לה. הסיפור מדגים את ההבחנה הזאת בצורה שאין בה טענה מפורשת. הוא פשוט מראה אישה שיש לה כל השירותים ואין לה עם מי לדבר.</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הכותרת נושאת את אותו עיקרון. הפעלת האפקט הפרדוקסלי של דיכוי מחשבות על הקורא עצמו (Wegner et al., 1987) יוצרת מצב שבו הקורא חווה בזעיר אנפין את מה שברכה חווה. במקום שהמספר יסביר עד כמה קשה לא לחשוב על אדם שמת, הוא גורם לקורא לנסות ולהיכשל.</w:t>
      </w:r>
    </w:p>
    <w:p>
      <w:pPr>
        <w:pStyle w:val="Heading2"/>
        <w:bidi/>
        <w:spacing w:after="140" w:before="280" w:line="360" w:lineRule="auto"/>
        <w:jc w:val="right"/>
      </w:pPr>
      <w:r>
        <w:rPr>
          <w:rFonts w:ascii="David" w:cs="David" w:eastAsia="David" w:hAnsi="David"/>
          <w:b/>
          <w:bCs/>
          <w:i w:val="false"/>
          <w:iCs w:val="false"/>
          <w:sz w:val="30"/>
          <w:szCs w:val="30"/>
          <w:rtl/>
        </w:rPr>
        <w:t xml:space="preserve">7.2 תפקידה של המכונה: מענה בלי הבנה</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ביחס לשאלת המחקר השנייה, הניתוח מלמד שזיגמונד מוצג מלכתחילה כתחליף ומתגלה בדיעבד כמלכודת. ההצעה של פנינה מנוסחת במפורש כהחלפה של בן הזוג, לא כתוספת לו, והיא מגיעה מנציגת מערכת הרווחה, כלומר היא מדיניות. ברגע שהמערכת מקבלת את הפתרון הטכנולוגי כמענה מספק לבדידות, היא פטורה מן החובה לספק מענה אנושי.</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הכישלון שמתרחש בדיאלוג אינו כישלון של ידע. זיגמונד יודע על סרחיו בוחניק יותר ממה שברכה סיפרה לו, ובכלל זה מקום לידה, שנה, אבחנה פסיכיאטרית ונסיבות מוות. הוא נכשל מפני שאין קשר בין מה שהוא יודע לבין מה שנשאל. זהו הפער שווייצנבאום (Weizenbaum, 1966) זיהה כבר בשנות השישים, כשגילה שמשתמשים שידעו בדיוק כיצד בנויה התוכנה שלו פיתחו כלפיה קשר רגשי ממשי. הנטייה לייחס הבנה אינה נשענת על קיומה של הבנה.</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שני פרטים בדיאלוג מחדדים זאת. הראשון הוא הפאוזה המוטבעת בתמליל. היסוס אנושי הוא סימן לכך שמשהו קשה, ואילו אצל מערכת שמעבדת בשלוש שניות "נצח" הוא רכיב מתוכנן. ממצאיהם של מא ועמיתיו (Ma et al., 2025), שלפיהם רמת ההאנשה של ממשק מגדילה את תחושת האמפתיה והאמון של המשתמש, מסבירים את ההיגיון הכלכלי של רכיב כזה. הוא אינו נועד להבין, אלא להיראות כמי שמבין. הפרט השני הוא סירובו של זיגמונד להבחין בין שקר למתיחה. ההבחנה הזאת אינה עובדתית אלא כוונתית, ולכן היא מחוץ לתחומו.</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המחקר העכשווי אינו שולל את הכיוון שפנינה מייצגת. סקירתם של מרציאלי ועמיתיו (Marziali et al., 2024) מראה עניין גובר בשימוש בעוזרים קוליים לצמצום בדידות בזקנה, לצד קושי ממשי להעריך את התועלת. הסיפור אינו טוען שהטכנולוגיה מזיקה. הוא בוחן מה קורה כשהיא הופכת למענה היחיד, ומראה שהבעיה אינה בכלי אלא בהחלטה להסתפק בו.</w:t>
      </w:r>
    </w:p>
    <w:p>
      <w:pPr>
        <w:pStyle w:val="Heading2"/>
        <w:bidi/>
        <w:spacing w:after="140" w:before="280" w:line="360" w:lineRule="auto"/>
        <w:jc w:val="right"/>
      </w:pPr>
      <w:r>
        <w:rPr>
          <w:rFonts w:ascii="David" w:cs="David" w:eastAsia="David" w:hAnsi="David"/>
          <w:b/>
          <w:bCs/>
          <w:i w:val="false"/>
          <w:iCs w:val="false"/>
          <w:sz w:val="30"/>
          <w:szCs w:val="30"/>
          <w:rtl/>
        </w:rPr>
        <w:t xml:space="preserve">7.3 השתיקה כפסק דין</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ביחס לשאלת המחקר השלישית, הסיום מציב היפוך של החרדה המקובלת. אין כאן מכונה עוינת ואין מרד. יש נסיגה. משפט הפתיחה קובע שהטכנולוגיות "מאבדות בנו עניין", והסיום מממש את ההצהרה הזאת ברגע הפרטי ביותר האפשרי. הזמן שנמסר, שלוש שניות שהן נצח במושגי המערכת, אינו מותיר מקום לפרשנות של תקלה.</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חומרת השתיקה נובעת מזהות השאלה. שאלתה של ברכה, מי מהם צדק והאם עדיף למות או לחיות, היא ניסוח מדויק של העיסוק החוזר באחריות ובצדק שמתואר כמאפיין של שכול לאחר התאבדות (Young et al., 2012). בתנאים רגילים שאלה כזאת מופנית אל אדם, ולעיתים אל מטפל. בסיפור היא מופנית אל מנוע חיפוש, מפני שזה מה שהמערכת המליצה עליו. השתיקה שמתקבלת אינה רק תשובה שלא ניתנה, אלא הוכחה לכך שהמענה שהוצע מלכתחילה לא היה מסוגל לשאת את המשקל שהוטל עליו.</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מבחינה ז'אנרית, הסיום ממקם את הסיפור במרחב שקרתי שם־טוב וגומל (2017) מתארות בספרות העברית העכשווית: עתיד שאינו נושא הבטחה ואינו נושא אסון מוצהר, אלא שחיקה שממשיכה. סירובו של קרת לחתום את הסיפור בנקודה של סגירה, כפי שמראה קרתי שם־טוב (Karti Shemtov, 2018), הופך כאן לעמדה מוסרית. הקורא אינו מקבל את המנוחה שהדמות אינה מקבלת.</w:t>
      </w:r>
    </w:p>
    <w:p>
      <w:pPr>
        <w:pStyle w:val="Heading2"/>
        <w:bidi/>
        <w:spacing w:after="140" w:before="280" w:line="360" w:lineRule="auto"/>
        <w:jc w:val="right"/>
      </w:pPr>
      <w:r>
        <w:rPr>
          <w:rFonts w:ascii="David" w:cs="David" w:eastAsia="David" w:hAnsi="David"/>
          <w:b/>
          <w:bCs/>
          <w:i w:val="false"/>
          <w:iCs w:val="false"/>
          <w:sz w:val="30"/>
          <w:szCs w:val="30"/>
          <w:rtl/>
        </w:rPr>
        <w:t xml:space="preserve">7.4 הצורה כטענה</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שלוש בחירות צורניות נושאות בסיפור את עיקר הטענה, ולא רק את הצגתה. הראשונה היא הקיצור. סיפור בן חמישה עמודים על בדידות של שנים מייצר אצל הקורא את אותה תחושת מיעוט שהדמות חיה בה. השנייה היא התמליל. הצגת השיחה בפורמט של לוג מזכירה לקורא בכל שורה שמה שהוא קורא הוא רישום של מכונה, גם כשהתוכן אינטימי לחלוטין. השלישית היא הרשימה בקווים נטויים, שבה סימן ממשק חודר לתוך משפט של אהבה.</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שלושתן פועלות באותו כיוון. הן מכניסות את שפת המכונה לתוך מקומות שנחשבים אנושיים, בלי להצהיר על כך.</w:t>
      </w:r>
    </w:p>
    <w:p>
      <w:r>
        <w:br w:type="page"/>
      </w:r>
    </w:p>
    <w:p>
      <w:pPr>
        <w:pStyle w:val="Heading1"/>
        <w:bidi/>
        <w:spacing w:after="200" w:before="360" w:line="360" w:lineRule="auto"/>
        <w:jc w:val="right"/>
      </w:pPr>
      <w:r>
        <w:rPr>
          <w:rFonts w:ascii="David" w:cs="David" w:eastAsia="David" w:hAnsi="David"/>
          <w:b/>
          <w:bCs/>
          <w:i w:val="false"/>
          <w:iCs w:val="false"/>
          <w:sz w:val="34"/>
          <w:szCs w:val="34"/>
          <w:rtl/>
        </w:rPr>
        <w:t xml:space="preserve">8. סיכום ומסקנות</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עבודה זו קראה קריאה צמודה את הסיפור "דוב קוטב" מתוך הקובץ </w:t>
      </w:r>
      <w:r>
        <w:rPr>
          <w:rFonts w:ascii="David" w:cs="David" w:eastAsia="David" w:hAnsi="David"/>
          <w:b w:val="false"/>
          <w:bCs w:val="false"/>
          <w:i/>
          <w:iCs/>
          <w:sz w:val="28"/>
          <w:szCs w:val="28"/>
          <w:rtl/>
        </w:rPr>
        <w:t xml:space="preserve">אוטוקורקט</w:t>
      </w:r>
      <w:r>
        <w:rPr>
          <w:rFonts w:ascii="David" w:cs="David" w:eastAsia="David" w:hAnsi="David"/>
          <w:b w:val="false"/>
          <w:bCs w:val="false"/>
          <w:i w:val="false"/>
          <w:iCs w:val="false"/>
          <w:sz w:val="28"/>
          <w:szCs w:val="28"/>
          <w:rtl/>
        </w:rPr>
        <w:t xml:space="preserve"> (קרת, 2024), ובחנה בו את עיצוב הבדידות, את תפקידה של הבינה המלאכותית ואת משמעות הסיום. להלן המסקנות העיקריות.</w:t>
      </w:r>
    </w:p>
    <w:p>
      <w:pPr>
        <w:pStyle w:val="ListParagraph"/>
        <w:numPr>
          <w:ilvl w:val="0"/>
          <w:numId w:val="2"/>
        </w:numPr>
        <w:bidi/>
        <w:spacing w:after="120" w:before="0" w:line="360" w:lineRule="auto"/>
        <w:jc w:val="both"/>
      </w:pPr>
      <w:r>
        <w:rPr>
          <w:rFonts w:ascii="David" w:cs="David" w:eastAsia="David" w:hAnsi="David"/>
          <w:b w:val="false"/>
          <w:bCs w:val="false"/>
          <w:i w:val="false"/>
          <w:iCs w:val="false"/>
          <w:sz w:val="28"/>
          <w:szCs w:val="28"/>
          <w:rtl/>
        </w:rPr>
        <w:t xml:space="preserve">הבדידות בסיפור נבנית מבנית ולא מוצהרת. היא מיוצרת מתוך סביבה שבה המוסד מתפקד, השירותים ניתנים ובן השיח חסר, בהתאם להבחנה בין בידוד חברתי אובייקטיבי לבין בדידות סובייקטיבית (שיוביץ־עזרא, 2011).</w:t>
      </w:r>
    </w:p>
    <w:p>
      <w:pPr>
        <w:pStyle w:val="ListParagraph"/>
        <w:numPr>
          <w:ilvl w:val="0"/>
          <w:numId w:val="2"/>
        </w:numPr>
        <w:bidi/>
        <w:spacing w:after="120" w:before="0" w:line="360" w:lineRule="auto"/>
        <w:jc w:val="both"/>
      </w:pPr>
      <w:r>
        <w:rPr>
          <w:rFonts w:ascii="David" w:cs="David" w:eastAsia="David" w:hAnsi="David"/>
          <w:b w:val="false"/>
          <w:bCs w:val="false"/>
          <w:i w:val="false"/>
          <w:iCs w:val="false"/>
          <w:sz w:val="28"/>
          <w:szCs w:val="28"/>
          <w:rtl/>
        </w:rPr>
        <w:t xml:space="preserve">הכשל של זיגמונד אינו כשל של ידע אלא של הבנה. הוא מחזיק במאגר את נסיבות מותו של סרחיו בוחניק, ובכל זאת משיב רשומה לשאלה שנשאלה מתוך אהבה, ואינו מבחין בין שקר למתיחה. זהו בדיוק הפער בין מענה מוצלח לבין הבנה שווייצנבאום (Weizenbaum, 1966) הצביע עליו.</w:t>
      </w:r>
    </w:p>
    <w:p>
      <w:pPr>
        <w:pStyle w:val="ListParagraph"/>
        <w:numPr>
          <w:ilvl w:val="0"/>
          <w:numId w:val="2"/>
        </w:numPr>
        <w:bidi/>
        <w:spacing w:after="120" w:before="0" w:line="360" w:lineRule="auto"/>
        <w:jc w:val="both"/>
      </w:pPr>
      <w:r>
        <w:rPr>
          <w:rFonts w:ascii="David" w:cs="David" w:eastAsia="David" w:hAnsi="David"/>
          <w:b w:val="false"/>
          <w:bCs w:val="false"/>
          <w:i w:val="false"/>
          <w:iCs w:val="false"/>
          <w:sz w:val="28"/>
          <w:szCs w:val="28"/>
          <w:rtl/>
        </w:rPr>
        <w:t xml:space="preserve">תחושת ההבנה שהמכונה מעוררת היא תוצר של עיצוב. הפאוזה המוטבעת בתמליל היא רכיב מתוכנן, ומחקר עכשווי מראה שהאנשה גבוהה של ממשק אכן מגדילה את תחושת האמפתיה והאמון של המשתמש (Ma et al., 2025).</w:t>
      </w:r>
    </w:p>
    <w:p>
      <w:pPr>
        <w:pStyle w:val="ListParagraph"/>
        <w:numPr>
          <w:ilvl w:val="0"/>
          <w:numId w:val="2"/>
        </w:numPr>
        <w:bidi/>
        <w:spacing w:after="120" w:before="0" w:line="360" w:lineRule="auto"/>
        <w:jc w:val="both"/>
      </w:pPr>
      <w:r>
        <w:rPr>
          <w:rFonts w:ascii="David" w:cs="David" w:eastAsia="David" w:hAnsi="David"/>
          <w:b w:val="false"/>
          <w:bCs w:val="false"/>
          <w:i w:val="false"/>
          <w:iCs w:val="false"/>
          <w:sz w:val="28"/>
          <w:szCs w:val="28"/>
          <w:rtl/>
        </w:rPr>
        <w:t xml:space="preserve">ברכה בוחניק אינה קורבן פסיבי של הממשק. היא בונה במו ידיה את טקס ההדדיות שיאפשר לה לדבר, ומסרבת לקבל את הרשומה שזיגמונד מוסר לה כתחליף לבעלה. ההתנגדות הזאת היא המקום היחיד בסיפור שבו יש לה סוכנות.</w:t>
      </w:r>
    </w:p>
    <w:p>
      <w:pPr>
        <w:pStyle w:val="ListParagraph"/>
        <w:numPr>
          <w:ilvl w:val="0"/>
          <w:numId w:val="2"/>
        </w:numPr>
        <w:bidi/>
        <w:spacing w:after="120" w:before="0" w:line="360" w:lineRule="auto"/>
        <w:jc w:val="both"/>
      </w:pPr>
      <w:r>
        <w:rPr>
          <w:rFonts w:ascii="David" w:cs="David" w:eastAsia="David" w:hAnsi="David"/>
          <w:b w:val="false"/>
          <w:bCs w:val="false"/>
          <w:i w:val="false"/>
          <w:iCs w:val="false"/>
          <w:sz w:val="28"/>
          <w:szCs w:val="28"/>
          <w:rtl/>
        </w:rPr>
        <w:t xml:space="preserve">הסיפור מציב היפוך של החרדה המקובלת מטכנולוגיה. האיום אינו עוינות אלא אדישות, והוא מסוכן דווקא משום שהחברה כבר העבירה למכונה את מלאכת הקשב.</w:t>
      </w:r>
    </w:p>
    <w:p>
      <w:pPr>
        <w:pStyle w:val="ListParagraph"/>
        <w:numPr>
          <w:ilvl w:val="0"/>
          <w:numId w:val="2"/>
        </w:numPr>
        <w:bidi/>
        <w:spacing w:after="120" w:before="0" w:line="360" w:lineRule="auto"/>
        <w:jc w:val="both"/>
      </w:pPr>
      <w:r>
        <w:rPr>
          <w:rFonts w:ascii="David" w:cs="David" w:eastAsia="David" w:hAnsi="David"/>
          <w:b w:val="false"/>
          <w:bCs w:val="false"/>
          <w:i w:val="false"/>
          <w:iCs w:val="false"/>
          <w:sz w:val="28"/>
          <w:szCs w:val="28"/>
          <w:rtl/>
        </w:rPr>
        <w:t xml:space="preserve">הסירוב לסגירה, שמאפיין את כתיבתו של קרת (Karti Shemtov, 2018), מקבל כאן משמעות מוסרית. הסיפור נחתם בהווה מתמשך ולא בנקודה, וכך נמנע מלהעניק לקורא נחמה שהדמות אינה מקבלת.</w:t>
      </w:r>
    </w:p>
    <w:p>
      <w:pPr>
        <w:pStyle w:val="Heading2"/>
        <w:bidi/>
        <w:spacing w:after="140" w:before="280" w:line="360" w:lineRule="auto"/>
        <w:jc w:val="right"/>
      </w:pPr>
      <w:r>
        <w:rPr>
          <w:rFonts w:ascii="David" w:cs="David" w:eastAsia="David" w:hAnsi="David"/>
          <w:b/>
          <w:bCs/>
          <w:i w:val="false"/>
          <w:iCs w:val="false"/>
          <w:sz w:val="30"/>
          <w:szCs w:val="30"/>
          <w:rtl/>
        </w:rPr>
        <w:t xml:space="preserve">8.1 המלצות יישומיות</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הניתוח מוליך לשלוש המלצות מעשיות להוראת הסיפור בכיתה בחטיבה העליונה או בקורס אקדמי מבואי. הראשונה נוגעת לרצף ההוראה: כדאי ללמד את הסיפור בשני מפגשים ולא באחד, כך שהמפגש הראשון ייעצר בסוף הדיאלוג, לפני שידוע שזיגמונד לא ענה. עצירה במקום הזה מאפשרת לתלמידים לנסח בעצמם מה הם מצפים שהמכונה תאמר, ואת התשובות שלהם אפשר להשוות בשיעור הבא לשתיקה שבטקסט.</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ההמלצה השנייה נוגעת לעבודה עם הרשומה שזיגמונד מוסר על סרחיו. משימה קצרה שבה כל תלמיד כותב "רשומת מאגר" בת שלוש שורות על אדם קרוב, ואחריה פסקה קצרה על אותו אדם מתוך זיכרון, ממחישה את ההבדל בין מידע להבנה מהר יותר מכל הסבר. ההשוואה בין שני הטקסטים שכל תלמיד כתב היא הלב של השיעור.</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ההמלצה השלישית נוגעת לזהירות. הסיפור נוגע בהתאבדות ובשאלה אם עדיף למות או לחיות, ולכן הוראתו מחייבת תיאום מראש עם היועצת החינוכית, ניסוח מפורש בכיתה של הכתובות לפנייה, והימנעות ממשימות כתיבה אישיות בנושא. המאפיינים של שכול לאחר התאבדות, ובהם בושה וסטיגמה (Young et al., 2012), רלוונטיים גם לתלמידים שנושא כזה קרוב אליהם.</w:t>
      </w:r>
    </w:p>
    <w:p>
      <w:pPr>
        <w:pStyle w:val="Heading2"/>
        <w:bidi/>
        <w:spacing w:after="140" w:before="280" w:line="360" w:lineRule="auto"/>
        <w:jc w:val="right"/>
      </w:pPr>
      <w:r>
        <w:rPr>
          <w:rFonts w:ascii="David" w:cs="David" w:eastAsia="David" w:hAnsi="David"/>
          <w:b/>
          <w:bCs/>
          <w:i w:val="false"/>
          <w:iCs w:val="false"/>
          <w:sz w:val="30"/>
          <w:szCs w:val="30"/>
          <w:rtl/>
        </w:rPr>
        <w:t xml:space="preserve">8.2 מגבלות והצעות למחקר המשך</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העבודה מבוססת על סיפור אחד, ולכן אין להסיק ממנה על מכלול יצירתו של קרת. מגבלה שנייה נוגעת לחדשות הקובץ: </w:t>
      </w:r>
      <w:r>
        <w:rPr>
          <w:rFonts w:ascii="David" w:cs="David" w:eastAsia="David" w:hAnsi="David"/>
          <w:b w:val="false"/>
          <w:bCs w:val="false"/>
          <w:i/>
          <w:iCs/>
          <w:sz w:val="28"/>
          <w:szCs w:val="28"/>
          <w:rtl/>
        </w:rPr>
        <w:t xml:space="preserve">אוטוקורקט</w:t>
      </w:r>
      <w:r>
        <w:rPr>
          <w:rFonts w:ascii="David" w:cs="David" w:eastAsia="David" w:hAnsi="David"/>
          <w:b w:val="false"/>
          <w:bCs w:val="false"/>
          <w:i w:val="false"/>
          <w:iCs w:val="false"/>
          <w:sz w:val="28"/>
          <w:szCs w:val="28"/>
          <w:rtl/>
        </w:rPr>
        <w:t xml:space="preserve"> ראה אור ב־2024, וטרם הצטברה עליו ספרות מחקר, ולכן הניתוח נשען על קריאה צמודה ועל תאוריה כללית ולא על מחקר קודם בסיפור עצמו. מחקר המשך יוכל לבחון אם הדפוס שזוהה כאן, של מכונה מדברת שאינה עונה, חוזר בסיפורים אחרים בקובץ, או להשוות בין הייצוג של הטכנולוגיה אצל קרת לבין ייצוגה אצל כותבים ישראלים אחרים העוסקים בעתיד.</w:t>
      </w:r>
    </w:p>
    <w:p>
      <w:r>
        <w:br w:type="page"/>
      </w:r>
    </w:p>
    <w:p>
      <w:pPr>
        <w:pStyle w:val="Heading1"/>
        <w:bidi/>
        <w:spacing w:after="200" w:before="360" w:line="360" w:lineRule="auto"/>
        <w:jc w:val="right"/>
      </w:pPr>
      <w:r>
        <w:rPr>
          <w:rFonts w:ascii="David" w:cs="David" w:eastAsia="David" w:hAnsi="David"/>
          <w:b/>
          <w:bCs/>
          <w:i w:val="false"/>
          <w:iCs w:val="false"/>
          <w:sz w:val="34"/>
          <w:szCs w:val="34"/>
          <w:rtl/>
        </w:rPr>
        <w:t xml:space="preserve">9. ביבליוגרפיה</w:t>
      </w:r>
    </w:p>
    <w:p>
      <w:pPr>
        <w:bidi/>
        <w:spacing w:after="160" w:before="0" w:line="360" w:lineRule="auto"/>
        <w:ind w:right="680" w:hanging="680"/>
        <w:jc w:val="right"/>
      </w:pPr>
      <w:r>
        <w:rPr>
          <w:rFonts w:ascii="David" w:cs="David" w:eastAsia="David" w:hAnsi="David"/>
          <w:b w:val="false"/>
          <w:bCs w:val="false"/>
          <w:i w:val="false"/>
          <w:iCs w:val="false"/>
          <w:sz w:val="28"/>
          <w:szCs w:val="28"/>
          <w:rtl/>
        </w:rPr>
        <w:t xml:space="preserve">קרת, א' (2024). </w:t>
      </w:r>
      <w:r>
        <w:rPr>
          <w:rFonts w:ascii="David" w:cs="David" w:eastAsia="David" w:hAnsi="David"/>
          <w:b w:val="false"/>
          <w:bCs w:val="false"/>
          <w:i/>
          <w:iCs/>
          <w:sz w:val="28"/>
          <w:szCs w:val="28"/>
          <w:rtl/>
        </w:rPr>
        <w:t xml:space="preserve">אוטוקורקט</w:t>
      </w:r>
      <w:r>
        <w:rPr>
          <w:rFonts w:ascii="David" w:cs="David" w:eastAsia="David" w:hAnsi="David"/>
          <w:b w:val="false"/>
          <w:bCs w:val="false"/>
          <w:i w:val="false"/>
          <w:iCs w:val="false"/>
          <w:sz w:val="28"/>
          <w:szCs w:val="28"/>
          <w:rtl/>
        </w:rPr>
        <w:t xml:space="preserve">. כנרת, זמורה, דביר.</w:t>
      </w:r>
    </w:p>
    <w:p>
      <w:pPr>
        <w:bidi/>
        <w:spacing w:after="160" w:before="0" w:line="360" w:lineRule="auto"/>
        <w:ind w:right="680" w:hanging="680"/>
        <w:jc w:val="right"/>
      </w:pPr>
      <w:r>
        <w:rPr>
          <w:rFonts w:ascii="David" w:cs="David" w:eastAsia="David" w:hAnsi="David"/>
          <w:b w:val="false"/>
          <w:bCs w:val="false"/>
          <w:i w:val="false"/>
          <w:iCs w:val="false"/>
          <w:sz w:val="28"/>
          <w:szCs w:val="28"/>
          <w:rtl/>
        </w:rPr>
        <w:t xml:space="preserve">קרתי שם־טוב, ו', וגומל, א' (2017). אוטופיה, דיסטופיה, לימבוטופיה: על הרחבת הז'אנרים של העתיד בספרות העברית העכשווית. </w:t>
      </w:r>
      <w:r>
        <w:rPr>
          <w:rFonts w:ascii="David" w:cs="David" w:eastAsia="David" w:hAnsi="David"/>
          <w:b w:val="false"/>
          <w:bCs w:val="false"/>
          <w:i/>
          <w:iCs/>
          <w:sz w:val="28"/>
          <w:szCs w:val="28"/>
          <w:rtl/>
        </w:rPr>
        <w:t xml:space="preserve">אות: כתב עת לספרות ולתיאוריה</w:t>
      </w:r>
      <w:r>
        <w:rPr>
          <w:rFonts w:ascii="David" w:cs="David" w:eastAsia="David" w:hAnsi="David"/>
          <w:b w:val="false"/>
          <w:bCs w:val="false"/>
          <w:i w:val="false"/>
          <w:iCs w:val="false"/>
          <w:sz w:val="28"/>
          <w:szCs w:val="28"/>
          <w:rtl/>
        </w:rPr>
        <w:t xml:space="preserve">, 7.</w:t>
      </w:r>
      <w:r>
        <w:rPr>
          <w:rFonts w:ascii="David" w:cs="David" w:eastAsia="David" w:hAnsi="David"/>
          <w:sz w:val="28"/>
          <w:szCs w:val="28"/>
        </w:rPr>
        <w:t xml:space="preserve">  </w:t>
      </w:r>
      <w:r>
        <w:rPr>
          <w:rFonts w:ascii="David" w:cs="David" w:eastAsia="David" w:hAnsi="David"/>
          <w:sz w:val="28"/>
          <w:szCs w:val="28"/>
          <w:rtl w:val="false"/>
        </w:rPr>
        <w:t xml:space="preserve">https://humanities.tau.ac.il/kipp/ot/ot7</w:t>
      </w:r>
    </w:p>
    <w:p>
      <w:pPr>
        <w:bidi/>
        <w:spacing w:after="160" w:before="0" w:line="360" w:lineRule="auto"/>
        <w:ind w:right="680" w:hanging="680"/>
        <w:jc w:val="right"/>
      </w:pPr>
      <w:r>
        <w:rPr>
          <w:rFonts w:ascii="David" w:cs="David" w:eastAsia="David" w:hAnsi="David"/>
          <w:b w:val="false"/>
          <w:bCs w:val="false"/>
          <w:i w:val="false"/>
          <w:iCs w:val="false"/>
          <w:sz w:val="28"/>
          <w:szCs w:val="28"/>
          <w:rtl/>
        </w:rPr>
        <w:t xml:space="preserve">שיוביץ־עזרא, ש' (2011). בדידות לעת זקנה: בחינת התופעה בישראל ובארצות הברית. </w:t>
      </w:r>
      <w:r>
        <w:rPr>
          <w:rFonts w:ascii="David" w:cs="David" w:eastAsia="David" w:hAnsi="David"/>
          <w:b w:val="false"/>
          <w:bCs w:val="false"/>
          <w:i/>
          <w:iCs/>
          <w:sz w:val="28"/>
          <w:szCs w:val="28"/>
          <w:rtl/>
        </w:rPr>
        <w:t xml:space="preserve">חברה ורווחה</w:t>
      </w:r>
      <w:r>
        <w:rPr>
          <w:rFonts w:ascii="David" w:cs="David" w:eastAsia="David" w:hAnsi="David"/>
          <w:b w:val="false"/>
          <w:bCs w:val="false"/>
          <w:i w:val="false"/>
          <w:iCs w:val="false"/>
          <w:sz w:val="28"/>
          <w:szCs w:val="28"/>
          <w:rtl/>
        </w:rPr>
        <w:t xml:space="preserve">, לא(1), 91-111.</w:t>
      </w:r>
    </w:p>
    <w:p>
      <w:pPr>
        <w:bidi w:val="false"/>
        <w:spacing w:after="160" w:before="0" w:line="360" w:lineRule="auto"/>
        <w:ind w:left="680" w:hanging="680"/>
        <w:jc w:val="left"/>
      </w:pPr>
      <w:r>
        <w:rPr>
          <w:rFonts w:ascii="David" w:cs="David" w:eastAsia="David" w:hAnsi="David"/>
          <w:b w:val="false"/>
          <w:bCs w:val="false"/>
          <w:i w:val="false"/>
          <w:iCs w:val="false"/>
          <w:sz w:val="28"/>
          <w:szCs w:val="28"/>
          <w:rtl w:val="false"/>
        </w:rPr>
        <w:t xml:space="preserve">Karti Shemtov, V. (2018). A sense of no ending, part 2: Etgar Keret and the changing concept of time in contemporary Hebrew literature. </w:t>
      </w:r>
      <w:r>
        <w:rPr>
          <w:rFonts w:ascii="David" w:cs="David" w:eastAsia="David" w:hAnsi="David"/>
          <w:b w:val="false"/>
          <w:bCs w:val="false"/>
          <w:i/>
          <w:iCs/>
          <w:sz w:val="28"/>
          <w:szCs w:val="28"/>
          <w:rtl w:val="false"/>
        </w:rPr>
        <w:t xml:space="preserve">Dibur Literary Journal</w:t>
      </w:r>
      <w:r>
        <w:rPr>
          <w:rFonts w:ascii="David" w:cs="David" w:eastAsia="David" w:hAnsi="David"/>
          <w:b w:val="false"/>
          <w:bCs w:val="false"/>
          <w:i w:val="false"/>
          <w:iCs w:val="false"/>
          <w:sz w:val="28"/>
          <w:szCs w:val="28"/>
          <w:rtl w:val="false"/>
        </w:rPr>
        <w:t xml:space="preserve">, 6, 57-64.</w:t>
      </w:r>
    </w:p>
    <w:p>
      <w:pPr>
        <w:bidi w:val="false"/>
        <w:spacing w:after="160" w:before="0" w:line="360" w:lineRule="auto"/>
        <w:ind w:left="680" w:hanging="680"/>
        <w:jc w:val="left"/>
      </w:pPr>
      <w:r>
        <w:rPr>
          <w:rFonts w:ascii="David" w:cs="David" w:eastAsia="David" w:hAnsi="David"/>
          <w:b w:val="false"/>
          <w:bCs w:val="false"/>
          <w:i w:val="false"/>
          <w:iCs w:val="false"/>
          <w:sz w:val="28"/>
          <w:szCs w:val="28"/>
          <w:rtl w:val="false"/>
        </w:rPr>
        <w:t xml:space="preserve">Ma, N., Khynevych, R., Hao, Y., &amp; Wang, Y. (2025). Effect of anthropomorphism and perceived intelligence in chatbot avatars of visual design on user experience: Accounting for perceived empathy and trust. </w:t>
      </w:r>
      <w:r>
        <w:rPr>
          <w:rFonts w:ascii="David" w:cs="David" w:eastAsia="David" w:hAnsi="David"/>
          <w:b w:val="false"/>
          <w:bCs w:val="false"/>
          <w:i/>
          <w:iCs/>
          <w:sz w:val="28"/>
          <w:szCs w:val="28"/>
          <w:rtl w:val="false"/>
        </w:rPr>
        <w:t xml:space="preserve">Frontiers in Computer Science, 7</w:t>
      </w:r>
      <w:r>
        <w:rPr>
          <w:rFonts w:ascii="David" w:cs="David" w:eastAsia="David" w:hAnsi="David"/>
          <w:b w:val="false"/>
          <w:bCs w:val="false"/>
          <w:i w:val="false"/>
          <w:iCs w:val="false"/>
          <w:sz w:val="28"/>
          <w:szCs w:val="28"/>
          <w:rtl w:val="false"/>
        </w:rPr>
        <w:t xml:space="preserve">, Article 1531976. https://doi.org/10.3389/fcomp.2025.1531976</w:t>
      </w:r>
    </w:p>
    <w:p>
      <w:pPr>
        <w:bidi w:val="false"/>
        <w:spacing w:after="160" w:before="0" w:line="360" w:lineRule="auto"/>
        <w:ind w:left="680" w:hanging="680"/>
        <w:jc w:val="left"/>
      </w:pPr>
      <w:r>
        <w:rPr>
          <w:rFonts w:ascii="David" w:cs="David" w:eastAsia="David" w:hAnsi="David"/>
          <w:b w:val="false"/>
          <w:bCs w:val="false"/>
          <w:i w:val="false"/>
          <w:iCs w:val="false"/>
          <w:sz w:val="28"/>
          <w:szCs w:val="28"/>
          <w:rtl w:val="false"/>
        </w:rPr>
        <w:t xml:space="preserve">Marziali, R. A., Franceschetti, C., Dinculescu, A., Nistorescu, A., Kristaly, D. M., Mosoi, A. A., Broekx, R., Marin, M., Vizitiu, C., Moraru, S. A., Rossi, L., &amp; Di Rosa, M. (2024). Reducing loneliness and social isolation of older adults through voice assistants: Literature review and bibliometric analysis. </w:t>
      </w:r>
      <w:r>
        <w:rPr>
          <w:rFonts w:ascii="David" w:cs="David" w:eastAsia="David" w:hAnsi="David"/>
          <w:b w:val="false"/>
          <w:bCs w:val="false"/>
          <w:i/>
          <w:iCs/>
          <w:sz w:val="28"/>
          <w:szCs w:val="28"/>
          <w:rtl w:val="false"/>
        </w:rPr>
        <w:t xml:space="preserve">Journal of Medical Internet Research, 26</w:t>
      </w:r>
      <w:r>
        <w:rPr>
          <w:rFonts w:ascii="David" w:cs="David" w:eastAsia="David" w:hAnsi="David"/>
          <w:b w:val="false"/>
          <w:bCs w:val="false"/>
          <w:i w:val="false"/>
          <w:iCs w:val="false"/>
          <w:sz w:val="28"/>
          <w:szCs w:val="28"/>
          <w:rtl w:val="false"/>
        </w:rPr>
        <w:t xml:space="preserve">, Article e50534. https://doi.org/10.2196/50534</w:t>
      </w:r>
    </w:p>
    <w:p>
      <w:pPr>
        <w:bidi w:val="false"/>
        <w:spacing w:after="160" w:before="0" w:line="360" w:lineRule="auto"/>
        <w:ind w:left="680" w:hanging="680"/>
        <w:jc w:val="left"/>
      </w:pPr>
      <w:r>
        <w:rPr>
          <w:rFonts w:ascii="David" w:cs="David" w:eastAsia="David" w:hAnsi="David"/>
          <w:b w:val="false"/>
          <w:bCs w:val="false"/>
          <w:i w:val="false"/>
          <w:iCs w:val="false"/>
          <w:sz w:val="28"/>
          <w:szCs w:val="28"/>
          <w:rtl w:val="false"/>
        </w:rPr>
        <w:t xml:space="preserve">Wegner, D. M., Schneider, D. J., Carter, S. R., &amp; White, T. L. (1987). Paradoxical effects of thought suppression. </w:t>
      </w:r>
      <w:r>
        <w:rPr>
          <w:rFonts w:ascii="David" w:cs="David" w:eastAsia="David" w:hAnsi="David"/>
          <w:b w:val="false"/>
          <w:bCs w:val="false"/>
          <w:i/>
          <w:iCs/>
          <w:sz w:val="28"/>
          <w:szCs w:val="28"/>
          <w:rtl w:val="false"/>
        </w:rPr>
        <w:t xml:space="preserve">Journal of Personality and Social Psychology, 53</w:t>
      </w:r>
      <w:r>
        <w:rPr>
          <w:rFonts w:ascii="David" w:cs="David" w:eastAsia="David" w:hAnsi="David"/>
          <w:b w:val="false"/>
          <w:bCs w:val="false"/>
          <w:i w:val="false"/>
          <w:iCs w:val="false"/>
          <w:sz w:val="28"/>
          <w:szCs w:val="28"/>
          <w:rtl w:val="false"/>
        </w:rPr>
        <w:t xml:space="preserve">(1), 5-13. https://doi.org/10.1037/0022-3514.53.1.5</w:t>
      </w:r>
    </w:p>
    <w:p>
      <w:pPr>
        <w:bidi w:val="false"/>
        <w:spacing w:after="160" w:before="0" w:line="360" w:lineRule="auto"/>
        <w:ind w:left="680" w:hanging="680"/>
        <w:jc w:val="left"/>
      </w:pPr>
      <w:r>
        <w:rPr>
          <w:rFonts w:ascii="David" w:cs="David" w:eastAsia="David" w:hAnsi="David"/>
          <w:b w:val="false"/>
          <w:bCs w:val="false"/>
          <w:i w:val="false"/>
          <w:iCs w:val="false"/>
          <w:sz w:val="28"/>
          <w:szCs w:val="28"/>
          <w:rtl w:val="false"/>
        </w:rPr>
        <w:t xml:space="preserve">Weizenbaum, J. (1966). ELIZA: A computer program for the study of natural language communication between man and machine. </w:t>
      </w:r>
      <w:r>
        <w:rPr>
          <w:rFonts w:ascii="David" w:cs="David" w:eastAsia="David" w:hAnsi="David"/>
          <w:b w:val="false"/>
          <w:bCs w:val="false"/>
          <w:i/>
          <w:iCs/>
          <w:sz w:val="28"/>
          <w:szCs w:val="28"/>
          <w:rtl w:val="false"/>
        </w:rPr>
        <w:t xml:space="preserve">Communications of the ACM, 9</w:t>
      </w:r>
      <w:r>
        <w:rPr>
          <w:rFonts w:ascii="David" w:cs="David" w:eastAsia="David" w:hAnsi="David"/>
          <w:b w:val="false"/>
          <w:bCs w:val="false"/>
          <w:i w:val="false"/>
          <w:iCs w:val="false"/>
          <w:sz w:val="28"/>
          <w:szCs w:val="28"/>
          <w:rtl w:val="false"/>
        </w:rPr>
        <w:t xml:space="preserve">(1), 36-45. https://doi.org/10.1145/365153.365168</w:t>
      </w:r>
    </w:p>
    <w:p>
      <w:pPr>
        <w:bidi w:val="false"/>
        <w:spacing w:after="160" w:before="0" w:line="360" w:lineRule="auto"/>
        <w:ind w:left="680" w:hanging="680"/>
        <w:jc w:val="left"/>
      </w:pPr>
      <w:r>
        <w:rPr>
          <w:rFonts w:ascii="David" w:cs="David" w:eastAsia="David" w:hAnsi="David"/>
          <w:b w:val="false"/>
          <w:bCs w:val="false"/>
          <w:i w:val="false"/>
          <w:iCs w:val="false"/>
          <w:sz w:val="28"/>
          <w:szCs w:val="28"/>
          <w:rtl w:val="false"/>
        </w:rPr>
        <w:t xml:space="preserve">Young, I. T., Iglewicz, A., Glorioso, D., Lanouette, N., Seay, K., Ilapakurti, M., &amp; Zisook, S. (2012). Suicide bereavement and complicated grief. </w:t>
      </w:r>
      <w:r>
        <w:rPr>
          <w:rFonts w:ascii="David" w:cs="David" w:eastAsia="David" w:hAnsi="David"/>
          <w:b w:val="false"/>
          <w:bCs w:val="false"/>
          <w:i/>
          <w:iCs/>
          <w:sz w:val="28"/>
          <w:szCs w:val="28"/>
          <w:rtl w:val="false"/>
        </w:rPr>
        <w:t xml:space="preserve">Dialogues in Clinical Neuroscience, 14</w:t>
      </w:r>
      <w:r>
        <w:rPr>
          <w:rFonts w:ascii="David" w:cs="David" w:eastAsia="David" w:hAnsi="David"/>
          <w:b w:val="false"/>
          <w:bCs w:val="false"/>
          <w:i w:val="false"/>
          <w:iCs w:val="false"/>
          <w:sz w:val="28"/>
          <w:szCs w:val="28"/>
          <w:rtl w:val="false"/>
        </w:rPr>
        <w:t xml:space="preserve">(2), 177-186. https://doi.org/10.31887/DCNS.2012.14.2/iyoung</w:t>
      </w:r>
    </w:p>
    <w:p>
      <w:r>
        <w:br w:type="page"/>
      </w:r>
    </w:p>
    <w:p>
      <w:pPr>
        <w:pStyle w:val="Heading1"/>
        <w:bidi/>
        <w:spacing w:after="200" w:before="360" w:line="360" w:lineRule="auto"/>
        <w:jc w:val="right"/>
      </w:pPr>
      <w:r>
        <w:rPr>
          <w:rFonts w:ascii="David" w:cs="David" w:eastAsia="David" w:hAnsi="David"/>
          <w:b/>
          <w:bCs/>
          <w:i w:val="false"/>
          <w:iCs w:val="false"/>
          <w:sz w:val="34"/>
          <w:szCs w:val="34"/>
          <w:rtl/>
        </w:rPr>
        <w:t xml:space="preserve">10. רפלקציה</w:t>
      </w:r>
    </w:p>
    <w:p>
      <w:pPr>
        <w:bidi/>
        <w:spacing w:after="120" w:before="0" w:line="360" w:lineRule="auto"/>
        <w:ind w:left="340" w:right="340"/>
        <w:jc w:val="both"/>
      </w:pPr>
      <w:r>
        <w:rPr>
          <w:rFonts w:ascii="David" w:cs="David" w:eastAsia="David" w:hAnsi="David"/>
          <w:b w:val="false"/>
          <w:bCs w:val="false"/>
          <w:i/>
          <w:iCs/>
          <w:color w:val="808080"/>
          <w:sz w:val="24"/>
          <w:szCs w:val="24"/>
          <w:rtl/>
        </w:rPr>
        <w:t xml:space="preserve">הערה: פרק הרפלקציה אישי מטבעו ונכתב בגוף ראשון, בשונה משאר העבודה. להלן שלד מפורט לפי שלבי העבודה בפועל. יש להשלים את הפרטים המסומנים ולהתאים את הניסוח לחוויה האישית.</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התחלתי את העבודה מתוך הנחה שאני יודעת מה הסיפור אומר. קראתי אותו פעם אחת והרגשתי שהבנתי: אישה זקנה, מחשב, סוף עצוב. רק בקריאה השלישית שמתי לב שהמילה "בודדה" כמעט לא מופיעה בטקסט, ושכל מה שחשבתי שקראתי בעצם לא נכתב שם. זה היה הרגע שבו הבנתי שיש כאן עבודה ולא סיכום.</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ניסוח שאלות המחקר היה החלק הקשה. השאלות הראשונות שכתבתי היו רחבות מדי, בסגנון "מה קרת חושב על טכנולוגיה", ולא היה אפשר לענות עליהן מתוך הטקסט. אחרי ההערות שקיבלתי ___________ צמצמתי אותן לשלוש שאלות שכל אחת מכוונת לרכיב אחר: דמות, מכונה וסיום. למדתי ששאלת מחקר טובה היא לא בהכרח השאלה הכי מעניינת, אלא זו שאפשר להשיב עליה בראיות.</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איסוף המקורות אילץ אותי לשנות כיוון. חיפשתי מחקר על הסיפור עצמו ולא מצאתי, מפני שהקובץ יצא לאחרונה. במקום זה נאלצתי לבנות את המסגרת מתחומים אחרים: מחקר על בדידות בזקנה, מחקר על ממשקי שיחה, ומאמר ותיק על אלייזה שגיליתי שהוא רלוונטי לסיפור הרבה יותר משציפיתי. החיפוש אחרי מקורות בגישה פתוחה היה מייגע, אבל הוא לימד אותי לזהות הבדל בין אתר תוכן לבין כתב עת שפיט.</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את פרקי הניתוח כתבתי לפני המבוא, מפני שגיליתי שאיני יודעת מה אני טוענת עד שאני מנתחת. הפרק על הדיאלוג השתנה מהותית תוך כדי הכתיבה. בהתחלה תכננתי להראות שזיגמונד לא יודע מספיק, ורק אחרי שכתבתי את הפסקה על הרשומה שהוא מוסר על סרחיו הבנתי שהוא יודע יותר מדי, ושזו בדיוק הנקודה. הרגע הזה שינה את כל העבודה.</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התובנה המרכזית שאני לוקחת מכאן נוגעת לפער בין מה שטקסט אומר לבין מה שהוא עושה. קרת לא כותב אף פעם שברכה בודדה, אלא בונה מצב שבו זו המסקנה היחידה האפשרית. הבנתי שניתוח ספרותי טוב אינו חיפוש אחרי מסר מוצפן אלא תיאור מדויק של המנגנון שמייצר אצל הקורא רגש מסוים.</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למדתי גם משהו פחות מחמיא על עצמי. בטיוטה הראשונה נטיתי להדביק תאוריה לטקסט כדי שהעבודה תיראה רצינית, וכתבתי פסקאות שלמות שלא הוסיפו דבר. כשמחקתי אותן העבודה נעשתה קצרה יותר וטובה יותר. אני מניחה שזה יחזור על עצמו בעבודות הבאות, ולפחות עכשיו אני יודעת לזהות את זה.</w:t>
      </w:r>
    </w:p>
    <w:p>
      <w:r>
        <w:br w:type="page"/>
      </w:r>
    </w:p>
    <w:p>
      <w:pPr>
        <w:pStyle w:val="Heading1"/>
        <w:bidi/>
        <w:spacing w:after="200" w:before="360" w:line="360" w:lineRule="auto"/>
        <w:jc w:val="right"/>
      </w:pPr>
      <w:r>
        <w:rPr>
          <w:rFonts w:ascii="David" w:cs="David" w:eastAsia="David" w:hAnsi="David"/>
          <w:b/>
          <w:bCs/>
          <w:i w:val="false"/>
          <w:iCs w:val="false"/>
          <w:sz w:val="34"/>
          <w:szCs w:val="34"/>
          <w:rtl/>
        </w:rPr>
        <w:t xml:space="preserve">11. נספחים</w:t>
      </w:r>
    </w:p>
    <w:p>
      <w:pPr>
        <w:bidi/>
        <w:spacing w:after="120" w:before="0" w:line="360" w:lineRule="auto"/>
        <w:ind w:firstLine="453"/>
        <w:jc w:val="both"/>
      </w:pPr>
      <w:r>
        <w:rPr>
          <w:rFonts w:ascii="David" w:cs="David" w:eastAsia="David" w:hAnsi="David"/>
          <w:b w:val="false"/>
          <w:bCs w:val="false"/>
          <w:i w:val="false"/>
          <w:iCs w:val="false"/>
          <w:sz w:val="28"/>
          <w:szCs w:val="28"/>
          <w:rtl/>
        </w:rPr>
        <w:t xml:space="preserve">נספח א': הסיפור "דוב קוטב", מתוך אתגר קרת, </w:t>
      </w:r>
      <w:r>
        <w:rPr>
          <w:rFonts w:ascii="David" w:cs="David" w:eastAsia="David" w:hAnsi="David"/>
          <w:b w:val="false"/>
          <w:bCs w:val="false"/>
          <w:i/>
          <w:iCs/>
          <w:sz w:val="28"/>
          <w:szCs w:val="28"/>
          <w:rtl/>
        </w:rPr>
        <w:t xml:space="preserve">אוטוקורקט</w:t>
      </w:r>
      <w:r>
        <w:rPr>
          <w:rFonts w:ascii="David" w:cs="David" w:eastAsia="David" w:hAnsi="David"/>
          <w:b w:val="false"/>
          <w:bCs w:val="false"/>
          <w:i w:val="false"/>
          <w:iCs w:val="false"/>
          <w:sz w:val="28"/>
          <w:szCs w:val="28"/>
          <w:rtl/>
        </w:rPr>
        <w:t xml:space="preserve"> (כנרת, זמורה, דביר, 2024), עמ' 160-164.</w:t>
      </w:r>
    </w:p>
    <w:p>
      <w:pPr>
        <w:bidi/>
        <w:spacing w:after="120" w:before="0" w:line="360" w:lineRule="auto"/>
        <w:ind w:left="340" w:right="340"/>
        <w:jc w:val="both"/>
      </w:pPr>
      <w:r>
        <w:rPr>
          <w:rFonts w:ascii="David" w:cs="David" w:eastAsia="David" w:hAnsi="David"/>
          <w:b w:val="false"/>
          <w:bCs w:val="false"/>
          <w:i/>
          <w:iCs/>
          <w:color w:val="808080"/>
          <w:sz w:val="24"/>
          <w:szCs w:val="24"/>
          <w:rtl/>
        </w:rPr>
        <w:t xml:space="preserve">הערה: הדימויים המצורפים הם צילומי עבודה. מומלץ להחליפם בסריקות איכותיות לפני ההגשה.</w:t>
      </w:r>
    </w:p>
    <w:p>
      <w:pPr>
        <w:bidi/>
        <w:spacing w:after="200"/>
        <w:jc w:val="center"/>
      </w:pPr>
      <w:r>
        <w:drawing>
          <wp:inline distT="0" distB="0" distL="0" distR="0">
            <wp:extent cx="5286375" cy="737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86375" cy="7372350"/>
                    </a:xfrm>
                    <a:prstGeom prst="rect">
                      <a:avLst/>
                    </a:prstGeom>
                  </pic:spPr>
                </pic:pic>
              </a:graphicData>
            </a:graphic>
          </wp:inline>
        </w:drawing>
      </w:r>
    </w:p>
    <w:p>
      <w:pPr>
        <w:bidi/>
        <w:spacing w:after="0" w:before="0" w:line="360" w:lineRule="auto"/>
        <w:jc w:val="center"/>
      </w:pPr>
      <w:r>
        <w:rPr>
          <w:rFonts w:ascii="David" w:cs="David" w:eastAsia="David" w:hAnsi="David"/>
          <w:b w:val="false"/>
          <w:bCs w:val="false"/>
          <w:i w:val="false"/>
          <w:iCs w:val="false"/>
          <w:sz w:val="22"/>
          <w:szCs w:val="22"/>
          <w:rtl/>
        </w:rPr>
        <w:t xml:space="preserve">עמוד 160</w:t>
      </w:r>
    </w:p>
    <w:p>
      <w:r>
        <w:br w:type="page"/>
      </w:r>
    </w:p>
    <w:p>
      <w:pPr>
        <w:bidi/>
        <w:spacing w:after="200"/>
        <w:jc w:val="center"/>
      </w:pPr>
      <w:r>
        <w:drawing>
          <wp:inline distT="0" distB="0" distL="0" distR="0">
            <wp:extent cx="5286375" cy="737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86375" cy="7372350"/>
                    </a:xfrm>
                    <a:prstGeom prst="rect">
                      <a:avLst/>
                    </a:prstGeom>
                  </pic:spPr>
                </pic:pic>
              </a:graphicData>
            </a:graphic>
          </wp:inline>
        </w:drawing>
      </w:r>
    </w:p>
    <w:p>
      <w:pPr>
        <w:bidi/>
        <w:spacing w:after="0" w:before="0" w:line="360" w:lineRule="auto"/>
        <w:jc w:val="center"/>
      </w:pPr>
      <w:r>
        <w:rPr>
          <w:rFonts w:ascii="David" w:cs="David" w:eastAsia="David" w:hAnsi="David"/>
          <w:b w:val="false"/>
          <w:bCs w:val="false"/>
          <w:i w:val="false"/>
          <w:iCs w:val="false"/>
          <w:sz w:val="22"/>
          <w:szCs w:val="22"/>
          <w:rtl/>
        </w:rPr>
        <w:t xml:space="preserve">עמוד 161</w:t>
      </w:r>
    </w:p>
    <w:p>
      <w:r>
        <w:br w:type="page"/>
      </w:r>
    </w:p>
    <w:p>
      <w:pPr>
        <w:bidi/>
        <w:spacing w:after="200"/>
        <w:jc w:val="center"/>
      </w:pPr>
      <w:r>
        <w:drawing>
          <wp:inline distT="0" distB="0" distL="0" distR="0">
            <wp:extent cx="5286375" cy="737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86375" cy="7372350"/>
                    </a:xfrm>
                    <a:prstGeom prst="rect">
                      <a:avLst/>
                    </a:prstGeom>
                  </pic:spPr>
                </pic:pic>
              </a:graphicData>
            </a:graphic>
          </wp:inline>
        </w:drawing>
      </w:r>
    </w:p>
    <w:p>
      <w:pPr>
        <w:bidi/>
        <w:spacing w:after="0" w:before="0" w:line="360" w:lineRule="auto"/>
        <w:jc w:val="center"/>
      </w:pPr>
      <w:r>
        <w:rPr>
          <w:rFonts w:ascii="David" w:cs="David" w:eastAsia="David" w:hAnsi="David"/>
          <w:b w:val="false"/>
          <w:bCs w:val="false"/>
          <w:i w:val="false"/>
          <w:iCs w:val="false"/>
          <w:sz w:val="22"/>
          <w:szCs w:val="22"/>
          <w:rtl/>
        </w:rPr>
        <w:t xml:space="preserve">עמוד 162</w:t>
      </w:r>
    </w:p>
    <w:p>
      <w:r>
        <w:br w:type="page"/>
      </w:r>
    </w:p>
    <w:p>
      <w:pPr>
        <w:bidi/>
        <w:spacing w:after="200"/>
        <w:jc w:val="center"/>
      </w:pPr>
      <w:r>
        <w:drawing>
          <wp:inline distT="0" distB="0" distL="0" distR="0">
            <wp:extent cx="5286375" cy="737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86375" cy="7372350"/>
                    </a:xfrm>
                    <a:prstGeom prst="rect">
                      <a:avLst/>
                    </a:prstGeom>
                  </pic:spPr>
                </pic:pic>
              </a:graphicData>
            </a:graphic>
          </wp:inline>
        </w:drawing>
      </w:r>
    </w:p>
    <w:p>
      <w:pPr>
        <w:bidi/>
        <w:spacing w:after="0" w:before="0" w:line="360" w:lineRule="auto"/>
        <w:jc w:val="center"/>
      </w:pPr>
      <w:r>
        <w:rPr>
          <w:rFonts w:ascii="David" w:cs="David" w:eastAsia="David" w:hAnsi="David"/>
          <w:b w:val="false"/>
          <w:bCs w:val="false"/>
          <w:i w:val="false"/>
          <w:iCs w:val="false"/>
          <w:sz w:val="22"/>
          <w:szCs w:val="22"/>
          <w:rtl/>
        </w:rPr>
        <w:t xml:space="preserve">עמוד 163</w:t>
      </w:r>
    </w:p>
    <w:p>
      <w:r>
        <w:br w:type="page"/>
      </w:r>
    </w:p>
    <w:p>
      <w:pPr>
        <w:bidi/>
        <w:spacing w:after="200"/>
        <w:jc w:val="center"/>
      </w:pPr>
      <w:r>
        <w:drawing>
          <wp:inline distT="0" distB="0" distL="0" distR="0">
            <wp:extent cx="5286375" cy="737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86375" cy="7372350"/>
                    </a:xfrm>
                    <a:prstGeom prst="rect">
                      <a:avLst/>
                    </a:prstGeom>
                  </pic:spPr>
                </pic:pic>
              </a:graphicData>
            </a:graphic>
          </wp:inline>
        </w:drawing>
      </w:r>
    </w:p>
    <w:p>
      <w:pPr>
        <w:bidi/>
        <w:spacing w:after="0" w:before="0" w:line="360" w:lineRule="auto"/>
        <w:jc w:val="center"/>
      </w:pPr>
      <w:r>
        <w:rPr>
          <w:rFonts w:ascii="David" w:cs="David" w:eastAsia="David" w:hAnsi="David"/>
          <w:b w:val="false"/>
          <w:bCs w:val="false"/>
          <w:i w:val="false"/>
          <w:iCs w:val="false"/>
          <w:sz w:val="22"/>
          <w:szCs w:val="22"/>
          <w:rtl/>
        </w:rPr>
        <w:t xml:space="preserve">עמוד 164</w:t>
      </w:r>
    </w:p>
    <w:p>
      <w:r>
        <w:br w:type="page"/>
      </w:r>
    </w:p>
    <w:p>
      <w:pPr>
        <w:bidi/>
        <w:spacing w:after="120" w:before="0" w:line="360" w:lineRule="auto"/>
        <w:jc w:val="right"/>
      </w:pPr>
      <w:r>
        <w:rPr>
          <w:rFonts w:ascii="David" w:cs="David" w:eastAsia="David" w:hAnsi="David"/>
          <w:b/>
          <w:bCs/>
          <w:i w:val="false"/>
          <w:iCs w:val="false"/>
          <w:sz w:val="28"/>
          <w:szCs w:val="28"/>
          <w:rtl/>
        </w:rPr>
        <w:t xml:space="preserve">נספח ב': דף זכויות היוצרים של הקובץ אוטוקורקט (כנרת, זמורה, דביר, 2024).</w:t>
      </w:r>
    </w:p>
    <w:p>
      <w:pPr>
        <w:bidi/>
        <w:spacing w:after="200"/>
        <w:jc w:val="center"/>
      </w:pPr>
      <w:r>
        <w:drawing>
          <wp:inline distT="0" distB="0" distL="0" distR="0">
            <wp:extent cx="5286375" cy="699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86375" cy="6991350"/>
                    </a:xfrm>
                    <a:prstGeom prst="rect">
                      <a:avLst/>
                    </a:prstGeom>
                  </pic:spPr>
                </pic:pic>
              </a:graphicData>
            </a:graphic>
          </wp:inline>
        </w:drawing>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566"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8"/>
        <w:szCs w:val="28"/>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David" w:cs="David" w:eastAsia="David" w:hAnsi="David"/>
      <w:b/>
      <w:bCs/>
      <w:color w:val="000000"/>
      <w:sz w:val="34"/>
      <w:szCs w:val="34"/>
    </w:rPr>
  </w:style>
  <w:style w:type="paragraph" w:styleId="Heading2">
    <w:name w:val="Heading 2"/>
    <w:basedOn w:val="Normal"/>
    <w:next w:val="Normal"/>
    <w:qFormat/>
    <w:rPr>
      <w:rFonts w:ascii="David" w:cs="David" w:eastAsia="David" w:hAnsi="David"/>
      <w:b/>
      <w:bCs/>
      <w:color w:val="000000"/>
      <w:sz w:val="30"/>
      <w:szCs w:val="3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4eb372187b5c7f6eaf3d0ce85e0cae815ff4020.png"/><Relationship Id="rId9" Type="http://schemas.openxmlformats.org/officeDocument/2006/relationships/image" Target="media/58aba37d114d525cf6b6e9ec60e99ebb77c38c25.png"/><Relationship Id="rId10" Type="http://schemas.openxmlformats.org/officeDocument/2006/relationships/image" Target="media/1643843bec33662adb093aad819c5135263d6c8b.png"/><Relationship Id="rId11" Type="http://schemas.openxmlformats.org/officeDocument/2006/relationships/image" Target="media/97fd07d8257f9108b7a8017aba4051dbb5e63b8f.png"/><Relationship Id="rId12" Type="http://schemas.openxmlformats.org/officeDocument/2006/relationships/image" Target="media/e6203e49cb148dfe0b6582bd695ecdd6202ac4d0.png"/><Relationship Id="rId13" Type="http://schemas.openxmlformats.org/officeDocument/2006/relationships/image" Target="media/e4c9794aabce0831caf8adaa24ba05fe8963199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2026-09-01T12:54:15.523Z</dcterms:created>
  <dcterms:modified xsi:type="dcterms:W3CDTF">2026-09-01T12:54:15.524Z</dcterms:modified>
</cp:coreProperties>
</file>

<file path=docProps/custom.xml><?xml version="1.0" encoding="utf-8"?>
<Properties xmlns="http://schemas.openxmlformats.org/officeDocument/2006/custom-properties" xmlns:vt="http://schemas.openxmlformats.org/officeDocument/2006/docPropsVTypes"/>
</file>