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bidi/>
        <w:spacing w:after="40" w:before="120" w:line="360" w:lineRule="auto"/>
        <w:jc w:val="center"/>
      </w:pPr>
      <w:r>
        <w:rPr>
          <w:rFonts w:ascii="Times New Roman" w:cs="Traditional Arabic" w:hAnsi="Times New Roman"/>
          <w:b w:val="false"/>
          <w:sz w:val="32"/>
          <w:szCs w:val="32"/>
          <w:rtl/>
        </w:rPr>
        <w:t xml:space="preserve">أكاديميّة القاسمي - كلّيّة أكاديميّة للتّربية، باقة الغربيّة</w:t>
      </w:r>
    </w:p>
    <w:p>
      <w:pPr>
        <w:bidi/>
        <w:spacing w:after="4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4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4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val="false"/>
          <w:sz w:val="32"/>
          <w:szCs w:val="32"/>
          <w:rtl/>
        </w:rPr>
        <w:t xml:space="preserve">إعداد الطّالب/ة: ________________</w:t>
      </w:r>
    </w:p>
    <w:p>
      <w:pPr>
        <w:bidi/>
        <w:spacing w:after="40" w:before="0" w:line="360" w:lineRule="auto"/>
        <w:jc w:val="center"/>
      </w:pPr>
      <w:r>
        <w:rPr>
          <w:rFonts w:ascii="Times New Roman" w:cs="Traditional Arabic" w:hAnsi="Times New Roman"/>
          <w:b w:val="false"/>
          <w:sz w:val="32"/>
          <w:szCs w:val="32"/>
          <w:rtl/>
        </w:rPr>
        <w:t xml:space="preserve">رقم الهويّة: ________________</w:t>
      </w:r>
    </w:p>
    <w:p>
      <w:pPr>
        <w:bidi/>
        <w:spacing w:after="40" w:before="0" w:line="360" w:lineRule="auto"/>
        <w:jc w:val="center"/>
      </w:pPr>
      <w:r>
        <w:rPr>
          <w:rFonts w:ascii="Times New Roman" w:cs="Traditional Arabic" w:hAnsi="Times New Roman"/>
          <w:b w:val="false"/>
          <w:sz w:val="32"/>
          <w:szCs w:val="32"/>
          <w:rtl/>
        </w:rPr>
        <w:t xml:space="preserve">بإرشاد: د. سمير كتّاني</w:t>
      </w:r>
    </w:p>
    <w:p>
      <w:pPr>
        <w:bidi/>
        <w:spacing w:after="4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4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ما مظاهرها، وبأيّ أدوات فنّيّة تحقّقت، وما وظائفها؟ يقف الفصل الأوّل عند فنّ التّرسّل بوصفه قالب الرّسالة، ويعرض الثّاني لعصر المعرّي وحياته وآثاره، ويرصد الثّالث موضوعات السّخرية وأدواتها. وينتهي البحث إلى أنّ السّخرية في الغفران بنية ناظمة لا زينة عابرة، وأنّها هزل يراد به الجدّ: نقد أدبيّ واجتماعيّ وفكريّ ألبسه المعرّي لبوس الضّحك.</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pageBreakBefore/>
        <w:bidi/>
        <w:spacing w:after="160" w:before="120" w:line="360" w:lineRule="auto"/>
        <w:jc w:val="center"/>
      </w:pPr>
      <w:r>
        <w:rPr>
          <w:rFonts w:ascii="Times New Roman" w:cs="Traditional Arabic" w:hAnsi="Times New Roman"/>
          <w:b/>
          <w:bCs/>
          <w:sz w:val="40"/>
          <w:szCs w:val="40"/>
          <w:rtl/>
        </w:rPr>
        <w:t xml:space="preserve">المقدّمة</w:t>
      </w:r>
    </w:p>
    <w:p>
      <w:pPr>
        <w:bidi/>
        <w:spacing w:after="4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ابن القارح، وفي حقيقتها رحلة خياليّة إلى العالم الآخر يحاور فيها ابن القارح الشّعراء والرّواة واللّغويّين. وما يستوقف الدّارس أنّ السّخرية ليست فيها زينة عابرة، بل تكاد تكون العمود الفقريّ الّذي ينتظم الرّحلة كلّها: في اختيار الشّخوص، وفي المواقف، وفي المفارقة الدّائمة بين جلال الآخرة وصغائر المسائل الّتي ينشغل بها أهلها.</w:t>
      </w:r>
    </w:p>
    <w:p>
      <w:pPr>
        <w:bidi/>
        <w:spacing w:after="4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وهذه هي الفجوة الّتي يحاول البحث الحاليّ الإسهام في سدّها.</w:t>
      </w:r>
    </w:p>
    <w:p>
      <w:pPr>
        <w:bidi/>
        <w:spacing w:after="4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كيف وظّف المعرّي قالب التّرسّل في بناء نصّ ساخر؟ ب. ممّن يسخر المعرّي وممّ يسخر؟ ج. ما موقف الكاتب نفسه ممّا يسخر منه؟</w:t>
      </w:r>
    </w:p>
    <w:p>
      <w:pPr>
        <w:bidi/>
        <w:spacing w:after="40" w:before="0" w:line="360" w:lineRule="auto"/>
        <w:jc w:val="both"/>
      </w:pPr>
      <w:r>
        <w:rPr>
          <w:rFonts w:ascii="Times New Roman" w:cs="Traditional Arabic" w:hAnsi="Times New Roman"/>
          <w:b w:val="false"/>
          <w:sz w:val="32"/>
          <w:szCs w:val="32"/>
          <w:rtl/>
        </w:rPr>
        <w:t xml:space="preserve">وتكمن أهمّيّة البحث في جانبين: جانب نظريّ، إذ يضع مصطلح السّخرية في سياقه العربيّ الكلاسيكيّ ويختبر صلاحيته أداةً لقراءة نصّ تراثيّ كبير؛ وجانب تطبيقيّ، إذ يقدّم قراءة منظّمة لنماذج من الرّسالة يمكن الإفادة منها في تدريس النّثر العبّاسيّ والنّقد الأدبيّ القديم.</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وقد بني البحث على ثلاثة فصول تسبقها هذه المقدّمة وتليها خاتمة تجمل النّتائج.</w:t>
      </w:r>
    </w:p>
    <w:p>
      <w:pPr>
        <w:bidi/>
        <w:spacing w:after="4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طبعة كامل كيلاني وتحقيق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وسيشار إلى ذلك كلّه في مواضعه من الحواشي.</w:t>
      </w:r>
    </w:p>
    <w:p>
      <w:pPr>
        <w:bidi/>
        <w:spacing w:after="40" w:before="0" w:line="360" w:lineRule="auto"/>
        <w:jc w:val="both"/>
      </w:pPr>
      <w:r>
        <w:rPr>
          <w:rFonts w:ascii="Times New Roman" w:cs="Traditional Arabic" w:hAnsi="Times New Roman"/>
          <w:b w:val="false"/>
          <w:sz w:val="32"/>
          <w:szCs w:val="32"/>
          <w:rtl/>
        </w:rPr>
        <w:t xml:space="preserve">أمّا حدود البحث فيقف عند قسم الرّحلة بالدّرجة الأولى، لأنّه موضع القصّ والسّخرية، ولا يتوسّع في قسم الرّدّ إلّا بمقدار ما يخدم السّؤال المركزيّ؛ ولا يدّعي الإحاطة بكلّ مشاهد الرّسالة، بل يجتزئ منها نماذج دالّة.</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bidi/>
        <w:spacing w:after="80" w:before="160" w:line="360" w:lineRule="auto"/>
        <w:jc w:val="right"/>
      </w:pPr>
      <w:r>
        <w:rPr>
          <w:rFonts w:ascii="Times New Roman" w:cs="Traditional Arabic" w:hAnsi="Times New Roman"/>
          <w:b/>
          <w:bCs/>
          <w:sz w:val="36"/>
          <w:szCs w:val="36"/>
          <w:rtl/>
        </w:rPr>
        <w:t xml:space="preserve">1.1 مفهوم التّرسّل لغةً واصطلاحًا</w:t>
      </w:r>
    </w:p>
    <w:p>
      <w:pPr>
        <w:bidi/>
        <w:spacing w:after="4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40" w:before="0" w:line="360" w:lineRule="auto"/>
        <w:jc w:val="both"/>
      </w:pPr>
      <w:r>
        <w:rPr>
          <w:rFonts w:ascii="Times New Roman" w:cs="Traditional Arabic" w:hAnsi="Times New Roman"/>
          <w:b w:val="false"/>
          <w:sz w:val="32"/>
          <w:szCs w:val="32"/>
          <w:rtl/>
        </w:rPr>
        <w:t xml:space="preserve">وينبغي فهم هذا الفنّ داخل الإطار الواسع لمصطلح "الأدب" في الموروث الكلاسيكيّ؛ فقد بيّن سمير كتّاني أنّ اللفظة شملت شتّى صنوف المعارف والفنون، واستخدمها المهتمّون بالوصف النّظريّ للحضارة كابن المقفّع ومسكويه، والمهتمّون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ويذكر كتّاني أنّ الدّراسة الّتي قام بها المستشرق الإيطاليّ كارلو نالينو في استعراض المعاني الكلاسيكيّة للمصطلح تعدّ أبرز دراسة في هذا المضمار، وقد ترجم كتابه إلى العربيّة تحت الاسم تاريخ الآداب العربيّة</w:t>
      </w:r>
      <w:r>
        <w:rPr>
          <w:rStyle w:val="FootnoteReference"/>
        </w:rPr>
        <w:footnoteReference w:id="3"/>
      </w:r>
      <w:r>
        <w:rPr>
          <w:rFonts w:ascii="Times New Roman" w:cs="Traditional Arabic" w:hAnsi="Times New Roman"/>
          <w:b w:val="false"/>
          <w:sz w:val="32"/>
          <w:szCs w:val="32"/>
          <w:rtl/>
        </w:rPr>
        <w:t xml:space="preserve">. وفي هذا الإطار الرّحب كانت الرّسالة الأدبيّة وعاءً معرفيًّا يتّسع للّغة والنّقد والفكر، لا مجرّد وسيلة اتّصال عمليّة.</w:t>
      </w:r>
    </w:p>
    <w:p>
      <w:pPr>
        <w:bidi/>
        <w:spacing w:after="40" w:before="0" w:line="360" w:lineRule="auto"/>
        <w:jc w:val="both"/>
      </w:pPr>
      <w:r>
        <w:rPr>
          <w:rFonts w:ascii="Times New Roman" w:cs="Traditional Arabic" w:hAnsi="Times New Roman"/>
          <w:b w:val="false"/>
          <w:sz w:val="32"/>
          <w:szCs w:val="32"/>
          <w:rtl/>
        </w:rPr>
        <w:t xml:space="preserve">وفي الاصطلاح: التّرسّل قسيم الخطابة، كلاهما مخاطبة بقصد الإفهام والتّأثير، غير أنّ الخطابة مشافهة والتّرسّل كتابة؛ وقد رصد زكي مبارك وشوقي ضيف تطوّره من البساطة المرسلة إلى الصّنعة المسجوعة</w:t>
      </w:r>
      <w:r>
        <w:rPr>
          <w:rStyle w:val="FootnoteReference"/>
        </w:rPr>
        <w:footnoteReference w:id="4"/>
      </w:r>
      <w:r>
        <w:rPr>
          <w:rFonts w:ascii="Times New Roman" w:cs="Traditional Arabic" w:hAnsi="Times New Roman"/>
          <w:b w:val="false"/>
          <w:sz w:val="32"/>
          <w:szCs w:val="32"/>
          <w:rtl/>
        </w:rPr>
        <w:t xml:space="preserve">.</w:t>
      </w:r>
    </w:p>
    <w:p>
      <w:pPr>
        <w:pStyle w:val="Heading2"/>
        <w:bidi/>
        <w:spacing w:after="80" w:before="16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40" w:before="0" w:line="360" w:lineRule="auto"/>
        <w:jc w:val="both"/>
      </w:pPr>
      <w:r>
        <w:rPr>
          <w:rFonts w:ascii="Times New Roman" w:cs="Traditional Arabic" w:hAnsi="Times New Roman"/>
          <w:b w:val="false"/>
          <w:sz w:val="32"/>
          <w:szCs w:val="32"/>
          <w:rtl/>
        </w:rPr>
        <w:t xml:space="preserve">عرفت العربيّة الرّسائل منذ صدر الإسلام رسائلَ قصيرةً عمليّةً؛ فلمّا اتّسعت الدّولة في العصر الأمويّ نشأ ديوان الرّسائل وظهر الكتّاب المحترفون، وعلى رأسهم عبد الحميد الكاتب الّذي وسّع الرّسالة وأدخل فيها المقدّمات والدّعاء، حتّى قيل: فُتحت الرّسائل بعبد الحميد وخُتمت بابن العميد</w:t>
      </w:r>
      <w:r>
        <w:rPr>
          <w:rStyle w:val="FootnoteReference"/>
        </w:rPr>
        <w:footnoteReference w:id="5"/>
      </w:r>
      <w:r>
        <w:rPr>
          <w:rFonts w:ascii="Times New Roman" w:cs="Traditional Arabic" w:hAnsi="Times New Roman"/>
          <w:b w:val="false"/>
          <w:sz w:val="32"/>
          <w:szCs w:val="32"/>
          <w:rtl/>
        </w:rPr>
        <w:t xml:space="preserve">. 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6"/>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7"/>
      </w:r>
      <w:r>
        <w:rPr>
          <w:rFonts w:ascii="Times New Roman" w:cs="Traditional Arabic" w:hAnsi="Times New Roman"/>
          <w:b w:val="false"/>
          <w:sz w:val="32"/>
          <w:szCs w:val="32"/>
          <w:rtl/>
        </w:rPr>
        <w:t xml:space="preserve">. وفي هذه البيئة المشبعة بالصّنعة تعلّم المعرّي وكتب.</w:t>
      </w:r>
    </w:p>
    <w:p>
      <w:pPr>
        <w:pStyle w:val="Heading2"/>
        <w:bidi/>
        <w:spacing w:after="80" w:before="160" w:line="360" w:lineRule="auto"/>
        <w:jc w:val="right"/>
      </w:pPr>
      <w:r>
        <w:rPr>
          <w:rFonts w:ascii="Times New Roman" w:cs="Traditional Arabic" w:hAnsi="Times New Roman"/>
          <w:b/>
          <w:bCs/>
          <w:sz w:val="36"/>
          <w:szCs w:val="36"/>
          <w:rtl/>
        </w:rPr>
        <w:t xml:space="preserve">1.3 أنواع الرّسائل وأشكالها</w:t>
      </w:r>
    </w:p>
    <w:p>
      <w:pPr>
        <w:bidi/>
        <w:spacing w:after="4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وثانيها الرّسائل الإخوانيّة الّتي تجري بين الأدباء والأصدقاء في التّهنئة والتّعزية والشّكر والعتاب والشّوق والاستزارة، وفيها تظهر عواطف الكاتب وذوقه. 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40" w:before="0" w:line="360" w:lineRule="auto"/>
        <w:jc w:val="both"/>
      </w:pPr>
      <w:r>
        <w:rPr>
          <w:rFonts w:ascii="Times New Roman" w:cs="Traditional Arabic" w:hAnsi="Times New Roman"/>
          <w:b w:val="false"/>
          <w:sz w:val="32"/>
          <w:szCs w:val="32"/>
          <w:rtl/>
        </w:rPr>
        <w:t xml:space="preserve">ولكلّ نوع أعلامه: فللدّيوانيّات عبد الحميد وابن العميد، وللإخوانيّات الصّاحب والخوارزميّ وبديع الزّمان، وللرّسائل الأدبيّة الجاحظ قبلهم جميعًا. ورسالة الغفران بهذا التّقسيم رسالة أدبيّة في المقام الأوّل، لكنّها تفتتح كما تفتتح الإخوانيّات بالثّناء على المرسَل إليه والدّعاء له، وهذا المزج جزء من لعبتها كما سيتبيّن.</w:t>
      </w:r>
    </w:p>
    <w:p>
      <w:pPr>
        <w:bidi/>
        <w:spacing w:after="4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وهذا التّداخل بالذّات هو ما استثمره المعرّي في رسالة الغفران كما سيأتي.</w:t>
      </w:r>
    </w:p>
    <w:p>
      <w:pPr>
        <w:bidi/>
        <w:spacing w:after="40" w:before="0" w:line="360" w:lineRule="auto"/>
        <w:jc w:val="both"/>
      </w:pPr>
      <w:r>
        <w:rPr>
          <w:rFonts w:ascii="Times New Roman" w:cs="Traditional Arabic" w:hAnsi="Times New Roman"/>
          <w:b w:val="false"/>
          <w:sz w:val="32"/>
          <w:szCs w:val="32"/>
          <w:rtl/>
        </w:rPr>
        <w:t xml:space="preserve">وتعدّدت أشكال الرّسالة من التّوقيع الموجز إلى الرّسالة المطوّلة الّتي تبلغ حجم الكتاب؛ وعلى هذا الطّرف الأخير تقع رسالة الغفران، فهي في المطبوع مئات الصّفحات، ممّا يدلّ على أنّ الصّيغة صارت إطارًا تنظيميًّا أكثر منها قيدًا على الحجم.</w:t>
      </w:r>
    </w:p>
    <w:p>
      <w:pPr>
        <w:bidi/>
        <w:spacing w:after="40" w:before="0" w:line="360" w:lineRule="auto"/>
        <w:jc w:val="both"/>
      </w:pPr>
      <w:r>
        <w:rPr>
          <w:rFonts w:ascii="Times New Roman" w:cs="Traditional Arabic" w:hAnsi="Times New Roman"/>
          <w:b w:val="false"/>
          <w:sz w:val="32"/>
          <w:szCs w:val="32"/>
          <w:rtl/>
        </w:rPr>
        <w:t xml:space="preserve">وقد غلبت على كتابة هذه الحقبة خصائص أسلوبيّة كتبت الغفران بها جميعًا: السّجع، والازدواج، والاقتباس، واستعراض الغريب. وممّا يلحظه الباحث أنّ هذه الصّنعة نفسها تدخل عند المعرّي في لعبة السّخرية: فالسّجع المتكلّف والغريب المتقعّر يساقان في مواضع الهزل، فيصير التّأنّق الأسلوبيّ ذاته موضع ابتسام؛ وهي ملاحظة سيبني عليها الفصل الثّالث.</w:t>
      </w:r>
    </w:p>
    <w:p>
      <w:pPr>
        <w:pStyle w:val="Heading2"/>
        <w:bidi/>
        <w:spacing w:after="80" w:before="160" w:line="360" w:lineRule="auto"/>
        <w:jc w:val="right"/>
      </w:pPr>
      <w:r>
        <w:rPr>
          <w:rFonts w:ascii="Times New Roman" w:cs="Traditional Arabic" w:hAnsi="Times New Roman"/>
          <w:b/>
          <w:bCs/>
          <w:sz w:val="36"/>
          <w:szCs w:val="36"/>
          <w:rtl/>
        </w:rPr>
        <w:t xml:space="preserve">1.4 الرّسالة الأدبيّة قالبًا للسّرد والخيال</w:t>
      </w:r>
    </w:p>
    <w:p>
      <w:pPr>
        <w:bidi/>
        <w:spacing w:after="4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8"/>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4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9"/>
      </w:r>
      <w:r>
        <w:rPr>
          <w:rFonts w:ascii="Times New Roman" w:cs="Traditional Arabic" w:hAnsi="Times New Roman"/>
          <w:b w:val="false"/>
          <w:sz w:val="32"/>
          <w:szCs w:val="32"/>
          <w:rtl/>
        </w:rPr>
        <w:t xml:space="preserve">. 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bidi/>
        <w:spacing w:after="80" w:before="160" w:line="360" w:lineRule="auto"/>
        <w:jc w:val="right"/>
      </w:pPr>
      <w:r>
        <w:rPr>
          <w:rFonts w:ascii="Times New Roman" w:cs="Traditional Arabic" w:hAnsi="Times New Roman"/>
          <w:b/>
          <w:bCs/>
          <w:sz w:val="36"/>
          <w:szCs w:val="36"/>
          <w:rtl/>
        </w:rPr>
        <w:t xml:space="preserve">1.5 التّرسّل عند المعرّي قبل الغفران</w:t>
      </w:r>
    </w:p>
    <w:p>
      <w:pPr>
        <w:bidi/>
        <w:spacing w:after="4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0"/>
      </w:r>
      <w:r>
        <w:rPr>
          <w:rFonts w:ascii="Times New Roman" w:cs="Traditional Arabic" w:hAnsi="Times New Roman"/>
          <w:b w:val="false"/>
          <w:sz w:val="32"/>
          <w:szCs w:val="32"/>
          <w:rtl/>
        </w:rPr>
        <w:t xml:space="preserve">. 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4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اجتمع فيها الخيال الأخرويّ من رسالة الملائكة، والتّعريض من الصّاهل والشّاحج، وأدب المجاملة من رسائله، ثمّ زادت بالبناء القصصيّ المحكم الّذي جعل بعض المحدثين يقرؤونها بوصفها عملًا روائيًّا مبكّرًا؛ وفي طليعتهم حسين الواد الّذي درس بنيتها القصصيّة دراسة كاملة</w:t>
      </w:r>
      <w:r>
        <w:rPr>
          <w:rStyle w:val="FootnoteReference"/>
        </w:rPr>
        <w:footnoteReference w:id="11"/>
      </w:r>
      <w:r>
        <w:rPr>
          <w:rFonts w:ascii="Times New Roman" w:cs="Traditional Arabic" w:hAnsi="Times New Roman"/>
          <w:b w:val="false"/>
          <w:sz w:val="32"/>
          <w:szCs w:val="32"/>
          <w:rtl/>
        </w:rPr>
        <w:t xml:space="preserve">. 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bidi/>
        <w:spacing w:after="80" w:before="160" w:line="360" w:lineRule="auto"/>
        <w:jc w:val="right"/>
      </w:pPr>
      <w:r>
        <w:rPr>
          <w:rFonts w:ascii="Times New Roman" w:cs="Traditional Arabic" w:hAnsi="Times New Roman"/>
          <w:b/>
          <w:bCs/>
          <w:sz w:val="36"/>
          <w:szCs w:val="36"/>
          <w:rtl/>
        </w:rPr>
        <w:t xml:space="preserve">2.1 عصره وبيئته</w:t>
      </w:r>
    </w:p>
    <w:p>
      <w:pPr>
        <w:bidi/>
        <w:spacing w:after="4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وقد فقدت الخلافة العبّاسيّة سلطانها الفعليّ؛ ووصف طه حسين سياسة العصر بحالتين: سلطة فعليّة للخلفاء قبل أبي العلاء، وسلطة اسميّة في عصره وما بعده</w:t>
      </w:r>
      <w:r>
        <w:rPr>
          <w:rStyle w:val="FootnoteReference"/>
        </w:rPr>
        <w:footnoteReference w:id="12"/>
      </w:r>
      <w:r>
        <w:rPr>
          <w:rFonts w:ascii="Times New Roman" w:cs="Traditional Arabic" w:hAnsi="Times New Roman"/>
          <w:b w:val="false"/>
          <w:sz w:val="32"/>
          <w:szCs w:val="32"/>
          <w:rtl/>
        </w:rPr>
        <w:t xml:space="preserve">. 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4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3"/>
      </w:r>
      <w:r>
        <w:rPr>
          <w:rFonts w:ascii="Times New Roman" w:cs="Traditional Arabic" w:hAnsi="Times New Roman"/>
          <w:b w:val="false"/>
          <w:sz w:val="32"/>
          <w:szCs w:val="32"/>
          <w:rtl/>
        </w:rPr>
        <w:t xml:space="preserve">. 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4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المتنازعة وتوظيف الدّين والعلم في طلب المنافع وضعا أمام المعرّي معرضًا يوميًّا من التّناقض بين القول والعمل؛ فسخرية الغفران أقرب إلى ردّ فعل عقل دقيق الملاحظة على عصر كثير الادّعاء.</w:t>
      </w:r>
    </w:p>
    <w:p>
      <w:pPr>
        <w:pStyle w:val="Heading2"/>
        <w:bidi/>
        <w:spacing w:after="80" w:before="16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4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وقد أفاض الجندي في وصف هذه البلدة ومكانتها وما قيل فيها من شعر</w:t>
      </w:r>
      <w:r>
        <w:rPr>
          <w:rStyle w:val="FootnoteReference"/>
        </w:rPr>
        <w:footnoteReference w:id="14"/>
      </w:r>
      <w:r>
        <w:rPr>
          <w:rFonts w:ascii="Times New Roman" w:cs="Traditional Arabic" w:hAnsi="Times New Roman"/>
          <w:b w:val="false"/>
          <w:sz w:val="32"/>
          <w:szCs w:val="32"/>
          <w:rtl/>
        </w:rPr>
        <w:t xml:space="preserve">. 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5"/>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وهذا هو السّبب في تلقيبه بلقب "رهين المحبسين": محبس العمى ومحبس المنزل</w:t>
      </w:r>
      <w:r>
        <w:rPr>
          <w:rStyle w:val="FootnoteReference"/>
        </w:rPr>
        <w:footnoteReference w:id="16"/>
      </w:r>
      <w:r>
        <w:rPr>
          <w:rFonts w:ascii="Times New Roman" w:cs="Traditional Arabic" w:hAnsi="Times New Roman"/>
          <w:b w:val="false"/>
          <w:sz w:val="32"/>
          <w:szCs w:val="32"/>
          <w:rtl/>
        </w:rPr>
        <w:t xml:space="preserve">. 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7"/>
      </w:r>
      <w:r>
        <w:rPr>
          <w:rFonts w:ascii="Times New Roman" w:cs="Traditional Arabic" w:hAnsi="Times New Roman"/>
          <w:b w:val="false"/>
          <w:sz w:val="32"/>
          <w:szCs w:val="32"/>
          <w:rtl/>
        </w:rPr>
        <w:t xml:space="preserve">. وقد جعل طه حسين من هذه السّجون الثّلاثة مدخلًا لكتابه عن فلسفة الرّجل</w:t>
      </w:r>
      <w:r>
        <w:rPr>
          <w:rStyle w:val="FootnoteReference"/>
        </w:rPr>
        <w:footnoteReference w:id="18"/>
      </w:r>
      <w:r>
        <w:rPr>
          <w:rFonts w:ascii="Times New Roman" w:cs="Traditional Arabic" w:hAnsi="Times New Roman"/>
          <w:b w:val="false"/>
          <w:sz w:val="32"/>
          <w:szCs w:val="32"/>
          <w:rtl/>
        </w:rPr>
        <w:t xml:space="preserve">. 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19"/>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وقد وقف على قبره جمع غفير من أدباء عصره وشعرائه ورثَوه بثمانين مرثاة</w:t>
      </w:r>
      <w:r>
        <w:rPr>
          <w:rStyle w:val="FootnoteReference"/>
        </w:rPr>
        <w:footnoteReference w:id="20"/>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واقتصر في مطعمه على النّبات ورفض التّكسّب بشعره ولم يتزوّج، إمعانًا في مذهبه الّذي لخّصته وصيّته. وليس هذا الزّهد تفصيلًا هامشيًّا؛ فالسّاخر الّذي لا يطلب جاهًا ولا مالًا يملك من حرّيّة القول ما لا يملكه المتكسّبون.</w:t>
      </w:r>
    </w:p>
    <w:p>
      <w:pPr>
        <w:bidi/>
        <w:spacing w:after="40" w:before="0" w:line="360" w:lineRule="auto"/>
        <w:jc w:val="both"/>
      </w:pPr>
      <w:r>
        <w:rPr>
          <w:rFonts w:ascii="Times New Roman" w:cs="Traditional Arabic" w:hAnsi="Times New Roman"/>
          <w:b w:val="false"/>
          <w:sz w:val="32"/>
          <w:szCs w:val="32"/>
          <w:rtl/>
        </w:rPr>
        <w:t xml:space="preserve">وكان أبو العلاء متوقّد الذّهن عجيب الحفظ؛ يروي شلتوت أنّه سمع كلامًا بالآذريّة في مجلسه فأعاده بحروفه من غير أن يفهم منه شيئًا</w:t>
      </w:r>
      <w:r>
        <w:rPr>
          <w:rStyle w:val="FootnoteReference"/>
        </w:rPr>
        <w:footnoteReference w:id="21"/>
      </w:r>
      <w:r>
        <w:rPr>
          <w:rFonts w:ascii="Times New Roman" w:cs="Traditional Arabic" w:hAnsi="Times New Roman"/>
          <w:b w:val="false"/>
          <w:sz w:val="32"/>
          <w:szCs w:val="32"/>
          <w:rtl/>
        </w:rPr>
        <w:t xml:space="preserve">. وهو عند ياقوت الحمويّ صاحب صيت وشهرة بالعلم لغةً ونحوًا وفلسفةً، وجزالة في الكلام نثرًا وشعرًا</w:t>
      </w:r>
      <w:r>
        <w:rPr>
          <w:rStyle w:val="FootnoteReference"/>
        </w:rPr>
        <w:footnoteReference w:id="22"/>
      </w:r>
      <w:r>
        <w:rPr>
          <w:rFonts w:ascii="Times New Roman" w:cs="Traditional Arabic" w:hAnsi="Times New Roman"/>
          <w:b w:val="false"/>
          <w:sz w:val="32"/>
          <w:szCs w:val="32"/>
          <w:rtl/>
        </w:rPr>
        <w:t xml:space="preserve">.</w:t>
      </w:r>
    </w:p>
    <w:p>
      <w:pPr>
        <w:pStyle w:val="Heading2"/>
        <w:bidi/>
        <w:spacing w:after="80" w:before="160" w:line="360" w:lineRule="auto"/>
        <w:jc w:val="right"/>
      </w:pPr>
      <w:r>
        <w:rPr>
          <w:rFonts w:ascii="Times New Roman" w:cs="Traditional Arabic" w:hAnsi="Times New Roman"/>
          <w:b/>
          <w:bCs/>
          <w:sz w:val="36"/>
          <w:szCs w:val="36"/>
          <w:rtl/>
        </w:rPr>
        <w:t xml:space="preserve">2.3 ثقافته ومذهبه الفكريّ</w:t>
      </w:r>
    </w:p>
    <w:p>
      <w:pPr>
        <w:bidi/>
        <w:spacing w:after="4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وفلسفة جعلت بعض الدّارسين يعدّه مؤسّسًا للشّعر الفلسفيّ العربيّ؛ وهي عند توحيدي فر فلسفة يوميّة تتحسّس الشّؤون المتكرّرة في حياة البشر</w:t>
      </w:r>
      <w:r>
        <w:rPr>
          <w:rStyle w:val="FootnoteReference"/>
        </w:rPr>
        <w:footnoteReference w:id="23"/>
      </w:r>
      <w:r>
        <w:rPr>
          <w:rFonts w:ascii="Times New Roman" w:cs="Traditional Arabic" w:hAnsi="Times New Roman"/>
          <w:b w:val="false"/>
          <w:sz w:val="32"/>
          <w:szCs w:val="32"/>
          <w:rtl/>
        </w:rPr>
        <w:t xml:space="preserve">. 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4"/>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واشتُهر بآراء أثارت الجدل وهاجمت تصوّرات معاصريه للدّين، حتّى اتّهمه كثيرون بالزّندقة؛ لكنّ بنت الشّاطئ تنفي عنه تلك التّهم، متّبعة خطوات أستاذها طه حسين الّذي وضع عنه غير كتاب وكان يرى نفسه إلى حدّ ما شبيهًا به</w:t>
      </w:r>
      <w:r>
        <w:rPr>
          <w:rStyle w:val="FootnoteReference"/>
        </w:rPr>
        <w:footnoteReference w:id="25"/>
      </w:r>
      <w:r>
        <w:rPr>
          <w:rFonts w:ascii="Times New Roman" w:cs="Traditional Arabic" w:hAnsi="Times New Roman"/>
          <w:b w:val="false"/>
          <w:sz w:val="32"/>
          <w:szCs w:val="32"/>
          <w:rtl/>
        </w:rPr>
        <w:t xml:space="preserve">. 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bidi/>
        <w:spacing w:after="80" w:before="160" w:line="360" w:lineRule="auto"/>
        <w:jc w:val="right"/>
      </w:pPr>
      <w:r>
        <w:rPr>
          <w:rFonts w:ascii="Times New Roman" w:cs="Traditional Arabic" w:hAnsi="Times New Roman"/>
          <w:b/>
          <w:bCs/>
          <w:sz w:val="36"/>
          <w:szCs w:val="36"/>
          <w:rtl/>
        </w:rPr>
        <w:t xml:space="preserve">2.4 آثاره</w:t>
      </w:r>
    </w:p>
    <w:p>
      <w:pPr>
        <w:bidi/>
        <w:spacing w:after="40" w:before="0" w:line="360" w:lineRule="auto"/>
        <w:jc w:val="both"/>
      </w:pPr>
      <w:r>
        <w:rPr>
          <w:rFonts w:ascii="Times New Roman" w:cs="Traditional Arabic" w:hAnsi="Times New Roman"/>
          <w:b w:val="false"/>
          <w:sz w:val="32"/>
          <w:szCs w:val="32"/>
          <w:rtl/>
        </w:rPr>
        <w:t xml:space="preserve">خلّف المعرّي تراثًا ضخمًا شعرًا ونثرًا. أمّا شعره، وهو ديوان حكمته وفلسفته، فثلاثة أقسام: اللزوميّات، وسقط الزّند، وضوء السّقط</w:t>
      </w:r>
      <w:r>
        <w:rPr>
          <w:rStyle w:val="FootnoteReference"/>
        </w:rPr>
        <w:footnoteReference w:id="26"/>
      </w:r>
      <w:r>
        <w:rPr>
          <w:rFonts w:ascii="Times New Roman" w:cs="Traditional Arabic" w:hAnsi="Times New Roman"/>
          <w:b w:val="false"/>
          <w:sz w:val="32"/>
          <w:szCs w:val="32"/>
          <w:rtl/>
        </w:rPr>
        <w:t xml:space="preserve">. وفي اللزوميّات، وهي أنضج شعره، ألزم نفسه في القافية ما لا يلزم، وضمّنها آراءه في الحياة والموت والنّاس والمعتقدات. 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4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8"/>
      </w:r>
      <w:r>
        <w:rPr>
          <w:rFonts w:ascii="Times New Roman" w:cs="Traditional Arabic" w:hAnsi="Times New Roman"/>
          <w:b w:val="false"/>
          <w:sz w:val="32"/>
          <w:szCs w:val="32"/>
          <w:rtl/>
        </w:rPr>
        <w:t xml:space="preserve">. 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9"/>
      </w:r>
      <w:r>
        <w:rPr>
          <w:rFonts w:ascii="Times New Roman" w:cs="Traditional Arabic" w:hAnsi="Times New Roman"/>
          <w:b w:val="false"/>
          <w:sz w:val="32"/>
          <w:szCs w:val="32"/>
          <w:rtl/>
        </w:rPr>
        <w:t xml:space="preserve">.</w:t>
      </w:r>
    </w:p>
    <w:p>
      <w:pPr>
        <w:pStyle w:val="Heading2"/>
        <w:bidi/>
        <w:spacing w:after="80" w:before="16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4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30"/>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وبدأ المعرّي ردّه بوصف رسالة ابن القارح كلمةً طيّبةً أصلها ثابت وفرعها في السّماء، ثمّ استرسل بخياله إلى رفع صاحبها إلى الجنّة بفضل كلماته الطّيّبة</w:t>
      </w:r>
      <w:r>
        <w:rPr>
          <w:rStyle w:val="FootnoteReference"/>
        </w:rPr>
        <w:footnoteReference w:id="31"/>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وقد جرت العادة عند الدّارسين على العناية بالقسم الأوّل خاصّة، لأنّه موضع الإبداع القصصيّ والسّخريّ.</w:t>
      </w:r>
    </w:p>
    <w:p>
      <w:pPr>
        <w:bidi/>
        <w:spacing w:after="4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والحياة وضروب الإبداع، شاء المعرّي فيه، عبر الشّخصيّات الّتي يلتقيها ابن القارح، أن يعبّر عن تمزّقه هو بين إيمانه وشكّه ويأسه وأمله، متسائلًا عن مكان الإنسان في هذا الكون</w:t>
      </w:r>
      <w:r>
        <w:rPr>
          <w:rStyle w:val="FootnoteReference"/>
        </w:rPr>
        <w:footnoteReference w:id="32"/>
      </w:r>
      <w:r>
        <w:rPr>
          <w:rFonts w:ascii="Times New Roman" w:cs="Traditional Arabic" w:hAnsi="Times New Roman"/>
          <w:b w:val="false"/>
          <w:sz w:val="32"/>
          <w:szCs w:val="32"/>
          <w:rtl/>
        </w:rPr>
        <w:t xml:space="preserve">. فمن ناحية تكشف الرّسالة عن مؤمن يعيش إيمانه بكلّ جوارحه، وعن شكّاك لا يرى فائدة في الصّورة الّتي يصنعها المتكلّمون للدّين</w:t>
      </w:r>
      <w:r>
        <w:rPr>
          <w:rStyle w:val="FootnoteReference"/>
        </w:rPr>
        <w:footnoteReference w:id="3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4"/>
      </w:r>
      <w:r>
        <w:rPr>
          <w:rFonts w:ascii="Times New Roman" w:cs="Traditional Arabic" w:hAnsi="Times New Roman"/>
          <w:b w:val="false"/>
          <w:sz w:val="32"/>
          <w:szCs w:val="32"/>
          <w:rtl/>
        </w:rPr>
        <w:t xml:space="preserve">. وذاع صيت الرّسالة خارج العربيّة أيضًا: فقد عرّف المستشرق الإنجليزيّ نيكلسون القارئ الأوروبيّ بأبي العلاء وأدبه</w:t>
      </w:r>
      <w:r>
        <w:rPr>
          <w:rStyle w:val="FootnoteReference"/>
        </w:rPr>
        <w:footnoteReference w:id="35"/>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6"/>
      </w:r>
      <w:r>
        <w:rPr>
          <w:rFonts w:ascii="Times New Roman" w:cs="Traditional Arabic" w:hAnsi="Times New Roman"/>
          <w:b w:val="false"/>
          <w:sz w:val="32"/>
          <w:szCs w:val="32"/>
          <w:rtl/>
        </w:rPr>
        <w:t xml:space="preserve">. 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7"/>
      </w:r>
      <w:r>
        <w:rPr>
          <w:rFonts w:ascii="Times New Roman" w:cs="Traditional Arabic" w:hAnsi="Times New Roman"/>
          <w:b w:val="false"/>
          <w:sz w:val="32"/>
          <w:szCs w:val="32"/>
          <w:rtl/>
        </w:rPr>
        <w:t xml:space="preserve">. وأيًّا كان الرّأي في هذه العلاقة، فإنّ مجرّد قيام المقارنة شاهد على المكانة الّتي بلغها هذا النّصّ.</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bidi/>
        <w:spacing w:after="80" w:before="160" w:line="360" w:lineRule="auto"/>
        <w:jc w:val="right"/>
      </w:pPr>
      <w:r>
        <w:rPr>
          <w:rFonts w:ascii="Times New Roman" w:cs="Traditional Arabic" w:hAnsi="Times New Roman"/>
          <w:b/>
          <w:bCs/>
          <w:sz w:val="36"/>
          <w:szCs w:val="36"/>
          <w:rtl/>
        </w:rPr>
        <w:t xml:space="preserve">3.1 في مفهوم السّخرية</w:t>
      </w:r>
    </w:p>
    <w:p>
      <w:pPr>
        <w:bidi/>
        <w:spacing w:after="4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38"/>
      </w:r>
      <w:r>
        <w:rPr>
          <w:rFonts w:ascii="Times New Roman" w:cs="Traditional Arabic" w:hAnsi="Times New Roman"/>
          <w:b w:val="false"/>
          <w:sz w:val="32"/>
          <w:szCs w:val="32"/>
          <w:rtl/>
        </w:rPr>
        <w:t xml:space="preserve">. 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39"/>
      </w:r>
      <w:r>
        <w:rPr>
          <w:rFonts w:ascii="Times New Roman" w:cs="Traditional Arabic" w:hAnsi="Times New Roman"/>
          <w:b w:val="false"/>
          <w:sz w:val="32"/>
          <w:szCs w:val="32"/>
          <w:rtl/>
        </w:rPr>
        <w:t xml:space="preserve">. 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4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الهجاء الجاهليّ، وبلغت في نثر الجاحظ ذروة مبكّرة في البخلاء والتّربيع والتّدوير، حيث تتولّد الفكاهة من رسم الشّخصيّات لا من الشّتم؛ وقد رصد نعمان طه هذا الخطّ الممتدّ</w:t>
      </w:r>
      <w:r>
        <w:rPr>
          <w:rStyle w:val="FootnoteReference"/>
        </w:rPr>
        <w:footnoteReference w:id="40"/>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40" w:before="0" w:line="360" w:lineRule="auto"/>
        <w:jc w:val="both"/>
      </w:pPr>
      <w:r>
        <w:rPr>
          <w:rFonts w:ascii="Times New Roman" w:cs="Traditional Arabic" w:hAnsi="Times New Roman"/>
          <w:b w:val="false"/>
          <w:sz w:val="32"/>
          <w:szCs w:val="32"/>
          <w:rtl/>
        </w:rPr>
        <w:t xml:space="preserve">وتتميّز السّخرية من جارتيها: فالفكاهة إضحاك بريء لا يستهدف أحدًا، والهجاء عدوان مكشوف يسمّي خصمه، أمّا السّخرية فبينهما: فيها قصد النّقد وآليّة الإضحاك معًا، لكنّها تعمل بالإيحاء والمواربة؛ ولذلك كثيرًا ما كانت سلاح العقول الكبيرة المقيّدة، تتيح قول الخطر في صورة المباح. ومن هنا كان اختيارها مطابقًا لموقع المعرّي: رجل يرى ما لا يراه معاصروه، ولا يملك أن يقوله كلّه صراحةً.</w:t>
      </w:r>
    </w:p>
    <w:p>
      <w:pPr>
        <w:pStyle w:val="Heading2"/>
        <w:bidi/>
        <w:spacing w:after="80" w:before="16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4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1"/>
      </w:r>
      <w:r>
        <w:rPr>
          <w:rFonts w:ascii="Times New Roman" w:cs="Traditional Arabic" w:hAnsi="Times New Roman"/>
          <w:b w:val="false"/>
          <w:sz w:val="32"/>
          <w:szCs w:val="32"/>
          <w:rtl/>
        </w:rPr>
        <w:t xml:space="preserve">. فالباعث الأوّل شخصيّ نقديّ: رجل يتملّق ويعلن توبة مشكوكًا في صدقها، فيكافئه المعرّي بردّ يظاهره التّرحيب ويبطن الامتحان.</w:t>
      </w:r>
    </w:p>
    <w:p>
      <w:pPr>
        <w:bidi/>
        <w:spacing w:after="40" w:before="0" w:line="360" w:lineRule="auto"/>
        <w:jc w:val="both"/>
      </w:pPr>
      <w:r>
        <w:rPr>
          <w:rFonts w:ascii="Times New Roman" w:cs="Traditional Arabic" w:hAnsi="Times New Roman"/>
          <w:b w:val="false"/>
          <w:sz w:val="32"/>
          <w:szCs w:val="32"/>
          <w:rtl/>
        </w:rPr>
        <w:t xml:space="preserve">وثمّة باعث أوسع: نقد العصر. فقد عُرف المعرّي بنقده لعصره بأسلوب ساخر يلمح به إلى حالة من عصره عن طريق أفعال الشّخصيّات أو المكان</w:t>
      </w:r>
      <w:r>
        <w:rPr>
          <w:rStyle w:val="FootnoteReference"/>
        </w:rPr>
        <w:footnoteReference w:id="42"/>
      </w:r>
      <w:r>
        <w:rPr>
          <w:rFonts w:ascii="Times New Roman" w:cs="Traditional Arabic" w:hAnsi="Times New Roman"/>
          <w:b w:val="false"/>
          <w:sz w:val="32"/>
          <w:szCs w:val="32"/>
          <w:rtl/>
        </w:rPr>
        <w:t xml:space="preserve">. 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4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3"/>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4"/>
      </w:r>
      <w:r>
        <w:rPr>
          <w:rFonts w:ascii="Times New Roman" w:cs="Traditional Arabic" w:hAnsi="Times New Roman"/>
          <w:b w:val="false"/>
          <w:sz w:val="32"/>
          <w:szCs w:val="32"/>
          <w:rtl/>
        </w:rPr>
        <w:t xml:space="preserve">. وسواء صحّ هذا التّأويل أم كان فيه من الإسقاط شيء، فإنّه يفسّر حرارة الوصف الحسّيّ الّذي تقوم عليه مبالغات الرّسالة السّاخرة.</w:t>
      </w:r>
    </w:p>
    <w:p>
      <w:pPr>
        <w:pStyle w:val="Heading2"/>
        <w:bidi/>
        <w:spacing w:after="80" w:before="16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bidi/>
        <w:spacing w:after="60" w:before="120" w:line="360" w:lineRule="auto"/>
        <w:jc w:val="right"/>
      </w:pPr>
      <w:r>
        <w:rPr>
          <w:rFonts w:ascii="Times New Roman" w:cs="Traditional Arabic" w:hAnsi="Times New Roman"/>
          <w:b/>
          <w:bCs/>
          <w:sz w:val="32"/>
          <w:szCs w:val="32"/>
          <w:rtl/>
        </w:rPr>
        <w:t xml:space="preserve">أ. السّخرية من ابن القارح</w:t>
      </w:r>
    </w:p>
    <w:p>
      <w:pPr>
        <w:bidi/>
        <w:spacing w:after="40" w:before="0" w:line="360" w:lineRule="auto"/>
        <w:jc w:val="both"/>
      </w:pPr>
      <w:r>
        <w:rPr>
          <w:rFonts w:ascii="Times New Roman" w:cs="Traditional Arabic" w:hAnsi="Times New Roman"/>
          <w:b w:val="false"/>
          <w:sz w:val="32"/>
          <w:szCs w:val="32"/>
          <w:rtl/>
        </w:rPr>
        <w:t xml:space="preserve">ابن القارح هو الهدف الأوّل والأظهر. 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5"/>
      </w:r>
    </w:p>
    <w:p>
      <w:pPr>
        <w:bidi/>
        <w:spacing w:after="4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6"/>
      </w:r>
      <w:r>
        <w:rPr>
          <w:rFonts w:ascii="Times New Roman" w:cs="Traditional Arabic" w:hAnsi="Times New Roman"/>
          <w:b w:val="false"/>
          <w:sz w:val="32"/>
          <w:szCs w:val="32"/>
          <w:rtl/>
        </w:rPr>
        <w:t xml:space="preserve">. 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4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47"/>
      </w:r>
      <w:r>
        <w:rPr>
          <w:rFonts w:ascii="Times New Roman" w:cs="Traditional Arabic" w:hAnsi="Times New Roman"/>
          <w:b w:val="false"/>
          <w:sz w:val="32"/>
          <w:szCs w:val="32"/>
          <w:rtl/>
        </w:rPr>
        <w:t xml:space="preserve">. وليس شيء من هذا شتمًا؛ فالمعرّي لا يصف ابن القارح بقبيح قطّ، وإنّما يدعه يتحرّك أمام القارئ حتّى يضحك القارئ منه بنفسه. ولعلّ هذا من أرقى درجات الفنّ السّاخر.</w:t>
      </w:r>
    </w:p>
    <w:p>
      <w:pPr>
        <w:pStyle w:val="Heading3"/>
        <w:bidi/>
        <w:spacing w:after="60" w:before="12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4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48"/>
      </w:r>
      <w:r>
        <w:rPr>
          <w:rFonts w:ascii="Times New Roman" w:cs="Traditional Arabic" w:hAnsi="Times New Roman"/>
          <w:b w:val="false"/>
          <w:sz w:val="32"/>
          <w:szCs w:val="32"/>
          <w:rtl/>
        </w:rPr>
        <w:t xml:space="preserve">، والأعشى ميمون بن قيس يقصّ كيف مُنّ عليه بالغفران بعدما صار من جهنّم على شفير، ثمّ هو مع ذلك محروم من خمر الجنّة لأنّ الحجّة أدركته بتحريمها</w:t>
      </w:r>
      <w:r>
        <w:rPr>
          <w:rStyle w:val="FootnoteReference"/>
        </w:rPr>
        <w:footnoteReference w:id="49"/>
      </w:r>
      <w:r>
        <w:rPr>
          <w:rFonts w:ascii="Times New Roman" w:cs="Traditional Arabic" w:hAnsi="Times New Roman"/>
          <w:b w:val="false"/>
          <w:sz w:val="32"/>
          <w:szCs w:val="32"/>
          <w:rtl/>
        </w:rPr>
        <w:t xml:space="preserve">. 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0"/>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1"/>
      </w:r>
      <w:r>
        <w:rPr>
          <w:rFonts w:ascii="Times New Roman" w:cs="Traditional Arabic" w:hAnsi="Times New Roman"/>
          <w:b w:val="false"/>
          <w:sz w:val="32"/>
          <w:szCs w:val="32"/>
          <w:rtl/>
        </w:rPr>
        <w:t xml:space="preserve">. 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4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وبهذا تصير الرّحلة الأخرويّة قاعة محاكمة معكوسة للنّقد الأدبيّ القديم.</w:t>
      </w:r>
    </w:p>
    <w:p>
      <w:pPr>
        <w:pStyle w:val="Heading3"/>
        <w:bidi/>
        <w:spacing w:after="60" w:before="12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4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52"/>
      </w:r>
      <w:r>
        <w:rPr>
          <w:rFonts w:ascii="Times New Roman" w:cs="Traditional Arabic" w:hAnsi="Times New Roman"/>
          <w:b w:val="false"/>
          <w:sz w:val="32"/>
          <w:szCs w:val="32"/>
          <w:rtl/>
        </w:rPr>
        <w:t xml:space="preserve">. وفي المقابل يطلّ أهل الجنّة على أهل النّار فيتجاذبون معهم أطراف الحديث في مسائل العروض، وتطلّ الخنساء على أخيها صخر في النّار إطلالة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4"/>
      </w:r>
      <w:r>
        <w:rPr>
          <w:rFonts w:ascii="Times New Roman" w:cs="Traditional Arabic" w:hAnsi="Times New Roman"/>
          <w:b w:val="false"/>
          <w:sz w:val="32"/>
          <w:szCs w:val="32"/>
          <w:rtl/>
        </w:rPr>
        <w:t xml:space="preserve">. 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bidi/>
        <w:spacing w:after="60" w:before="12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40" w:before="0" w:line="360" w:lineRule="auto"/>
        <w:jc w:val="both"/>
      </w:pPr>
      <w:r>
        <w:rPr>
          <w:rFonts w:ascii="Times New Roman" w:cs="Traditional Arabic" w:hAnsi="Times New Roman"/>
          <w:b w:val="false"/>
          <w:sz w:val="32"/>
          <w:szCs w:val="32"/>
          <w:rtl/>
        </w:rPr>
        <w:t xml:space="preserve">وثمّة مستوى رابع: سخرية شاملة من الطّبيعة البشريّة ذاتها. فابن القارح نموذج للإنسان يطلب النّجاة بأرخص ثمن وينسى في النّعيم ما قطعه في الشّدّة، والشّعراء في الجنّة لم تغيّرهم الآخرة: ما زالوا يتنازعون الأسبقيّة ويتحاسدون. فكأنّ المعرّي يقول: انقلوا البشر إلى أيّ عالم شئتم، فسينقلون معهم أهواءهم.</w:t>
      </w:r>
    </w:p>
    <w:p>
      <w:pPr>
        <w:bidi/>
        <w:spacing w:after="4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5"/>
      </w:r>
      <w:r>
        <w:rPr>
          <w:rFonts w:ascii="Times New Roman" w:cs="Traditional Arabic" w:hAnsi="Times New Roman"/>
          <w:b w:val="false"/>
          <w:sz w:val="32"/>
          <w:szCs w:val="32"/>
          <w:rtl/>
        </w:rPr>
        <w:t xml:space="preserve">. 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ولعلّ هذا ما يعطي سخرية الغفران عمقها الإنسانيّ ويرفعها عن الشّماتة.</w:t>
      </w:r>
    </w:p>
    <w:p>
      <w:pPr>
        <w:bidi/>
        <w:spacing w:after="40" w:before="0" w:line="360" w:lineRule="auto"/>
        <w:jc w:val="both"/>
      </w:pPr>
      <w:r>
        <w:rPr>
          <w:rFonts w:ascii="Times New Roman" w:cs="Traditional Arabic" w:hAnsi="Times New Roman"/>
          <w:b w:val="false"/>
          <w:sz w:val="32"/>
          <w:szCs w:val="32"/>
          <w:rtl/>
        </w:rPr>
        <w:t xml:space="preserve">ويجدر التّنبيه إلى تفاوت منسوب السّخرية بين القسمين: ففي الرّحلة تتولّد من المواقف والحوارات، وفي الرّدّ المباشر تحلّ محلّها سخرية أدقّ مسلكًا من مجاملات مبالغ فيها ومناقشة يظاهرها التّسليم ويبطنها الفحص. فهي حاضرة في القسمين معًا، ممّا يقوّي القول بأنّها بنية ناظمة للرّسالة كلّها.</w:t>
      </w:r>
    </w:p>
    <w:p>
      <w:pPr>
        <w:pStyle w:val="Heading2"/>
        <w:bidi/>
        <w:spacing w:after="80" w:before="16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4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40" w:before="0" w:line="360" w:lineRule="auto"/>
        <w:jc w:val="both"/>
      </w:pPr>
      <w:r>
        <w:rPr>
          <w:rFonts w:ascii="Times New Roman" w:cs="Traditional Arabic" w:hAnsi="Times New Roman"/>
          <w:b w:val="false"/>
          <w:sz w:val="32"/>
          <w:szCs w:val="32"/>
          <w:rtl/>
        </w:rPr>
        <w:t xml:space="preserve">أوّلًا: المفارقة، وهي أمّ الأدوات: مفارقة بين جلال الموقف الأخرويّ وصغر الموضوعات، فالمحشر مشغول بالعروض والجنّة مجلس منادمة؛ ومفارقة بين ظاهر الخطاب وباطنه، إذ يخاطب المعرّي ابن القارح بأجلّ عبارات التّبجيل وهو يعرّيه.</w:t>
      </w:r>
    </w:p>
    <w:p>
      <w:pPr>
        <w:bidi/>
        <w:spacing w:after="4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56"/>
      </w:r>
      <w:r>
        <w:rPr>
          <w:rFonts w:ascii="Times New Roman" w:cs="Traditional Arabic" w:hAnsi="Times New Roman"/>
          <w:b w:val="false"/>
          <w:sz w:val="32"/>
          <w:szCs w:val="32"/>
          <w:rtl/>
        </w:rPr>
        <w:t xml:space="preserve">. فالتّرحيب الحارّ بتوبة ابن القارح، والدّعاء المتّصل له بطول البقاء، كلاهما مديح ظاهره الصّفاء وباطنه الغمز.</w:t>
      </w:r>
    </w:p>
    <w:p>
      <w:pPr>
        <w:bidi/>
        <w:spacing w:after="40" w:before="0" w:line="360" w:lineRule="auto"/>
        <w:jc w:val="both"/>
      </w:pPr>
      <w:r>
        <w:rPr>
          <w:rFonts w:ascii="Times New Roman" w:cs="Traditional Arabic" w:hAnsi="Times New Roman"/>
          <w:b w:val="false"/>
          <w:sz w:val="32"/>
          <w:szCs w:val="32"/>
          <w:rtl/>
        </w:rPr>
        <w:t xml:space="preserve">ثالثًا: المحاكاة السّاخرة، إذ يحاكي أجناسًا قائمة ليكشف هشاشتها: مجالس الإملاء والمناظرة في ندوات الجنّة، وأدب الشّفاعات في رحلة ابن القارح، وأسانيد الرّواة في أخبار الجنّ.</w:t>
      </w:r>
    </w:p>
    <w:p>
      <w:pPr>
        <w:bidi/>
        <w:spacing w:after="4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40" w:before="0" w:line="360" w:lineRule="auto"/>
        <w:jc w:val="both"/>
      </w:pPr>
      <w:r>
        <w:rPr>
          <w:rFonts w:ascii="Times New Roman" w:cs="Traditional Arabic" w:hAnsi="Times New Roman"/>
          <w:b w:val="false"/>
          <w:sz w:val="32"/>
          <w:szCs w:val="32"/>
          <w:rtl/>
        </w:rPr>
        <w:t xml:space="preserve">خامسًا: الحوار وتوليد المواقف، فالسّخرية لا تجيء تقريرًا بل تتولّد من الموقف: سؤال محرج، أو جواب بارد، أو مقابلة بين متحاورين لا يستويان؛ والحوار يمنح الرّسالة طابعها الرّوائيّ ويجعل القارئ شاهدًا على المفارقة.</w:t>
      </w:r>
    </w:p>
    <w:p>
      <w:pPr>
        <w:bidi/>
        <w:spacing w:after="4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4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57"/>
      </w:r>
      <w:r>
        <w:rPr>
          <w:rFonts w:ascii="Times New Roman" w:cs="Traditional Arabic" w:hAnsi="Times New Roman"/>
          <w:b w:val="false"/>
          <w:sz w:val="32"/>
          <w:szCs w:val="32"/>
          <w:rtl/>
        </w:rPr>
        <w:t xml:space="preserve">؛ فالضّحك في الغفران وسيلة إقناع لا غاية.</w:t>
      </w:r>
    </w:p>
    <w:p>
      <w:pPr>
        <w:pStyle w:val="Heading2"/>
        <w:bidi/>
        <w:spacing w:after="80" w:before="160" w:line="360" w:lineRule="auto"/>
        <w:jc w:val="right"/>
      </w:pPr>
      <w:r>
        <w:rPr>
          <w:rFonts w:ascii="Times New Roman" w:cs="Traditional Arabic" w:hAnsi="Times New Roman"/>
          <w:b/>
          <w:bCs/>
          <w:sz w:val="36"/>
          <w:szCs w:val="36"/>
          <w:rtl/>
        </w:rPr>
        <w:t xml:space="preserve">3.5 موقف الكاتب: بين الجدّ والهزل</w:t>
      </w:r>
    </w:p>
    <w:p>
      <w:pPr>
        <w:bidi/>
        <w:spacing w:after="4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58"/>
      </w:r>
      <w:r>
        <w:rPr>
          <w:rFonts w:ascii="Times New Roman" w:cs="Traditional Arabic" w:hAnsi="Times New Roman"/>
          <w:b w:val="false"/>
          <w:sz w:val="32"/>
          <w:szCs w:val="32"/>
          <w:rtl/>
        </w:rPr>
        <w:t xml:space="preserve">. ويبدو هذا الوصف دقيقًا في جانبه الفنّيّ، لكنّه لا يعفي من تحديد وظيفة هذه الضّحكة.</w:t>
      </w:r>
    </w:p>
    <w:p>
      <w:pPr>
        <w:bidi/>
        <w:spacing w:after="4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والسّخرية عنده قناع يتيح قول هذا كلّه من غير مواجهة مكشوفة؛ فالنّاقد الّذي يضحك يصعب اتّهامه، والقصّة الخياليّة تحتمل دائمًا أن يقال إنّها مجرّد خيال. وبهذا المعنى يمكن عدّ السّخرية عند رهين المحبسين حرّيّته الممكنة: حرّيّة تقول ولا تُمسك عليها كلمة.</w:t>
      </w:r>
    </w:p>
    <w:p>
      <w:pPr>
        <w:bidi/>
        <w:spacing w:after="40" w:before="0" w:line="360" w:lineRule="auto"/>
        <w:jc w:val="both"/>
      </w:pPr>
      <w:r>
        <w:rPr>
          <w:rFonts w:ascii="Times New Roman" w:cs="Traditional Arabic" w:hAnsi="Times New Roman"/>
          <w:b w:val="false"/>
          <w:sz w:val="32"/>
          <w:szCs w:val="32"/>
          <w:rtl/>
        </w:rPr>
        <w:t xml:space="preserve">ويتّضح موقفه أكثر بموازنته بالجاحظ: فسخرية الجاحظ اجتماعيّة مرحة غايتها القريبة الإمتاع، وسخرية المعرّي فلسفيّة قاتمة تنبع من موقف كامل من الوجود؛ الجاحظ يضحك مع النّاس، والمعرّي يضحك من المسافة الّتي تفصله عنهم</w:t>
      </w:r>
      <w:r>
        <w:rPr>
          <w:rStyle w:val="FootnoteReference"/>
        </w:rPr>
        <w:footnoteReference w:id="59"/>
      </w:r>
      <w:r>
        <w:rPr>
          <w:rFonts w:ascii="Times New Roman" w:cs="Traditional Arabic" w:hAnsi="Times New Roman"/>
          <w:b w:val="false"/>
          <w:sz w:val="32"/>
          <w:szCs w:val="32"/>
          <w:rtl/>
        </w:rPr>
        <w:t xml:space="preserve">. وكلا الضّحكين نقد، لكنّ ضحكة الغفران أثقل ميراثًا لأنّها تحمل سؤال المصير نفسه.</w:t>
      </w:r>
    </w:p>
    <w:p>
      <w:pPr>
        <w:bidi/>
        <w:spacing w:after="40" w:before="0" w:line="360" w:lineRule="auto"/>
        <w:jc w:val="both"/>
      </w:pPr>
      <w:r>
        <w:rPr>
          <w:rFonts w:ascii="Times New Roman" w:cs="Traditional Arabic" w:hAnsi="Times New Roman"/>
          <w:b w:val="false"/>
          <w:sz w:val="32"/>
          <w:szCs w:val="32"/>
          <w:rtl/>
        </w:rPr>
        <w:t xml:space="preserve">ولا بدّ من احتياط منهجيّ: فالسّخرية قائمة على الإيحاء لا التّصريح، وتكثر في تأويلها المزالق. ولذلك آثر البحث الوقوف عند ما يسنده بناء النّصّ نفسه، من غير قطع بمقاصد لا سبيل إلى التّثبّت منها؛ فالمعرّي أحكم إغلاق نصّه على أكثر من قراءة، ولعلّ هذا الإحكام نفسه جزء من لعبته السّاخرة.</w:t>
      </w:r>
    </w:p>
    <w:p>
      <w:pPr>
        <w:bidi/>
        <w:spacing w:after="4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0"/>
      </w:r>
      <w:r>
        <w:rPr>
          <w:rFonts w:ascii="Times New Roman" w:cs="Traditional Arabic" w:hAnsi="Times New Roman"/>
          <w:b w:val="false"/>
          <w:sz w:val="32"/>
          <w:szCs w:val="32"/>
          <w:rtl/>
        </w:rPr>
        <w:t xml:space="preserve">. 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ومن هذه المسافة بالذّات تولد السّخرية الكبرى.</w:t>
      </w:r>
    </w:p>
    <w:p>
      <w:pPr>
        <w:pStyle w:val="Heading2"/>
        <w:bidi/>
        <w:spacing w:after="80" w:before="160" w:line="360" w:lineRule="auto"/>
        <w:jc w:val="right"/>
      </w:pPr>
      <w:r>
        <w:rPr>
          <w:rFonts w:ascii="Times New Roman" w:cs="Traditional Arabic" w:hAnsi="Times New Roman"/>
          <w:b/>
          <w:bCs/>
          <w:sz w:val="36"/>
          <w:szCs w:val="36"/>
          <w:rtl/>
        </w:rPr>
        <w:t xml:space="preserve">3.6 صدى سخرية الغفران</w:t>
      </w:r>
    </w:p>
    <w:p>
      <w:pPr>
        <w:bidi/>
        <w:spacing w:after="40" w:before="0" w:line="360" w:lineRule="auto"/>
        <w:jc w:val="both"/>
      </w:pPr>
      <w:r>
        <w:rPr>
          <w:rFonts w:ascii="Times New Roman" w:cs="Traditional Arabic" w:hAnsi="Times New Roman"/>
          <w:b w:val="false"/>
          <w:sz w:val="32"/>
          <w:szCs w:val="32"/>
          <w:rtl/>
        </w:rPr>
        <w:t xml:space="preserve">لم تمت ضحكة الغفران بموت صاحبها. فقد رأى دارسون أنّ الكوميديا الإلهيّة لدانتي تلتقي معها في فكرة الرّحلة وكثير من التّفاصيل، وأنّ ملتون تأثّر بها في الفردوس المفقود</w:t>
      </w:r>
      <w:r>
        <w:rPr>
          <w:rStyle w:val="FootnoteReference"/>
        </w:rPr>
        <w:footnoteReference w:id="61"/>
      </w:r>
      <w:r>
        <w:rPr>
          <w:rFonts w:ascii="Times New Roman" w:cs="Traditional Arabic" w:hAnsi="Times New Roman"/>
          <w:b w:val="false"/>
          <w:sz w:val="32"/>
          <w:szCs w:val="32"/>
          <w:rtl/>
        </w:rPr>
        <w:t xml:space="preserve">. 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62"/>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رحلة دانتي جادّة مهيبة من أوّلها إلى آخرها، ورحلة ابن القارح تسير على حدّ المفارقة الهازلة. وقد صدرت الرّسالة كاملة بالعربيّة والإنجليزيّة ضمن سلسلة مكتبة الأدب العربيّ، فاتّسعت دائرة قرّائها. 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الخاتمة</w:t>
      </w:r>
    </w:p>
    <w:p>
      <w:pPr>
        <w:bidi/>
        <w:spacing w:after="4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4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4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4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وأنّها تحقّقت بأدوات فنّيّة أهمّها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40" w:before="0" w:line="360" w:lineRule="auto"/>
        <w:jc w:val="both"/>
      </w:pPr>
      <w:r>
        <w:rPr>
          <w:rFonts w:ascii="Times New Roman" w:cs="Traditional Arabic" w:hAnsi="Times New Roman"/>
          <w:b w:val="false"/>
          <w:sz w:val="32"/>
          <w:szCs w:val="32"/>
          <w:rtl/>
        </w:rPr>
        <w:t xml:space="preserve">ويفتح البحث آفاقًا لدراسات لاحقة: دراسة السّخرية في رسائل المعرّي الأخرى، وتوسيع المقارنة مع الكوميديا الإلهيّة في باب السّخرية خاصّة، ودراسة تلقّي سخرية الغفران بين الاتّهام والدّفاع. ويقترح عمليًّا إدراج نصوص من قسم الرّحلة في تدريس النّقد الأدبيّ القديم، لما تحويه من مباحث نقديّة معروضة بأسلوب حيّ.</w:t>
      </w:r>
    </w:p>
    <w:p>
      <w:pPr>
        <w:bidi/>
        <w:spacing w:after="4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البيبليوغرافيا</w:t>
      </w:r>
    </w:p>
    <w:p>
      <w:pPr>
        <w:bidi/>
        <w:spacing w:after="40" w:before="0" w:line="360" w:lineRule="auto"/>
        <w:jc w:val="both"/>
      </w:pPr>
      <w:r>
        <w:rPr>
          <w:rFonts w:ascii="Times New Roman" w:cs="Traditional Arabic" w:hAnsi="Times New Roman"/>
          <w:b w:val="false"/>
          <w:sz w:val="32"/>
          <w:szCs w:val="32"/>
          <w:rtl/>
        </w:rPr>
        <w:t xml:space="preserve">1. أبو رحمة، عماد محمود. "أثر رسالة الغفران لأبي العلاء المعرّي في الكوميديا الإلهيّة لدانتي: دراسة نصّيّة مقارنة". </w:t>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غزّة: الجامعة الإسلاميّة، 2015.</w:t>
      </w:r>
    </w:p>
    <w:p>
      <w:pPr>
        <w:bidi/>
        <w:spacing w:after="40" w:before="0" w:line="360" w:lineRule="auto"/>
        <w:jc w:val="both"/>
      </w:pPr>
      <w:r>
        <w:rPr>
          <w:rFonts w:ascii="Times New Roman" w:cs="Traditional Arabic" w:hAnsi="Times New Roman"/>
          <w:b w:val="false"/>
          <w:sz w:val="32"/>
          <w:szCs w:val="32"/>
          <w:rtl/>
        </w:rPr>
        <w:t xml:space="preserve">2. بن قيراط، حنان. "فلسفة السّخرية في رسالة الغفران لأبي العلاء المعرّي". </w:t>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40" w:before="0" w:line="360" w:lineRule="auto"/>
        <w:jc w:val="both"/>
      </w:pPr>
      <w:r>
        <w:rPr>
          <w:rFonts w:ascii="Times New Roman" w:cs="Traditional Arabic" w:hAnsi="Times New Roman"/>
          <w:b w:val="false"/>
          <w:sz w:val="32"/>
          <w:szCs w:val="32"/>
          <w:rtl/>
        </w:rPr>
        <w:t xml:space="preserve">3. توحيدي فر، نرجس. </w:t>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بيروت: دار صادر، 2011.</w:t>
      </w:r>
    </w:p>
    <w:p>
      <w:pPr>
        <w:bidi/>
        <w:spacing w:after="40" w:before="0" w:line="360" w:lineRule="auto"/>
        <w:jc w:val="both"/>
      </w:pPr>
      <w:r>
        <w:rPr>
          <w:rFonts w:ascii="Times New Roman" w:cs="Traditional Arabic" w:hAnsi="Times New Roman"/>
          <w:b w:val="false"/>
          <w:sz w:val="32"/>
          <w:szCs w:val="32"/>
          <w:rtl/>
        </w:rPr>
        <w:t xml:space="preserve">4. الجندي، محمّد سليم. </w:t>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الجزء الأوّل. تعليق وإشراف: عبد الهادي هاشم. دمشق: مطبوعات المجمع العلميّ العربيّ، 1962.</w:t>
      </w:r>
    </w:p>
    <w:p>
      <w:pPr>
        <w:bidi/>
        <w:spacing w:after="40" w:before="0" w:line="360" w:lineRule="auto"/>
        <w:jc w:val="both"/>
      </w:pPr>
      <w:r>
        <w:rPr>
          <w:rFonts w:ascii="Times New Roman" w:cs="Traditional Arabic" w:hAnsi="Times New Roman"/>
          <w:b w:val="false"/>
          <w:sz w:val="32"/>
          <w:szCs w:val="32"/>
          <w:rtl/>
        </w:rPr>
        <w:t xml:space="preserve">5. حسين، طه. </w:t>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6. حسين، طه. </w:t>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القاهرة: دار المعارف، 1939.</w:t>
      </w:r>
    </w:p>
    <w:p>
      <w:pPr>
        <w:bidi/>
        <w:spacing w:after="40" w:before="0" w:line="360" w:lineRule="auto"/>
        <w:jc w:val="both"/>
      </w:pPr>
      <w:r>
        <w:rPr>
          <w:rFonts w:ascii="Times New Roman" w:cs="Traditional Arabic" w:hAnsi="Times New Roman"/>
          <w:b w:val="false"/>
          <w:sz w:val="32"/>
          <w:szCs w:val="32"/>
          <w:rtl/>
        </w:rPr>
        <w:t xml:space="preserve">7. ضيف، شوقي. </w:t>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ط 13. 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8. طه، نعمان محمّد أمين. </w:t>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القاهرة: دار التّوفيقيّة، 1979.</w:t>
      </w:r>
    </w:p>
    <w:p>
      <w:pPr>
        <w:bidi/>
        <w:spacing w:after="40" w:before="0" w:line="360" w:lineRule="auto"/>
        <w:jc w:val="both"/>
      </w:pPr>
      <w:r>
        <w:rPr>
          <w:rFonts w:ascii="Times New Roman" w:cs="Traditional Arabic" w:hAnsi="Times New Roman"/>
          <w:b w:val="false"/>
          <w:sz w:val="32"/>
          <w:szCs w:val="32"/>
          <w:rtl/>
        </w:rPr>
        <w:t xml:space="preserve">9. عبد الرّحمن، عائشة (بنت الشّاطئ). </w:t>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10. العقّاد، عبّاس محمود. </w:t>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11. كتّاني، سمير. "الأدب كإطار للمعارف في الموروث العربيّ الكلاسيكيّ: مفاهيمه، طبيعته ومضامينه". </w:t>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40" w:before="0" w:line="360" w:lineRule="auto"/>
        <w:jc w:val="both"/>
      </w:pPr>
      <w:r>
        <w:rPr>
          <w:rFonts w:ascii="Times New Roman" w:cs="Traditional Arabic" w:hAnsi="Times New Roman"/>
          <w:b w:val="false"/>
          <w:sz w:val="32"/>
          <w:szCs w:val="32"/>
          <w:rtl/>
        </w:rPr>
        <w:t xml:space="preserve">12. كرد علي، محمّد. </w:t>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القاهرة: مطبعة لجنة التّأليف والتّرجمة والنّشر، 1937.</w:t>
      </w:r>
    </w:p>
    <w:p>
      <w:pPr>
        <w:bidi/>
        <w:spacing w:after="40" w:before="0" w:line="360" w:lineRule="auto"/>
        <w:jc w:val="both"/>
      </w:pPr>
      <w:r>
        <w:rPr>
          <w:rFonts w:ascii="Times New Roman" w:cs="Traditional Arabic" w:hAnsi="Times New Roman"/>
          <w:b w:val="false"/>
          <w:sz w:val="32"/>
          <w:szCs w:val="32"/>
          <w:rtl/>
        </w:rPr>
        <w:t xml:space="preserve">13. مبارك، زكي. </w:t>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14.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عائشة عبد الرّحمن (بنت الشّاطئ). القاهرة: دار المعارف، 1963.</w:t>
      </w:r>
    </w:p>
    <w:p>
      <w:pPr>
        <w:bidi/>
        <w:spacing w:after="40" w:before="0" w:line="360" w:lineRule="auto"/>
        <w:jc w:val="both"/>
      </w:pPr>
      <w:r>
        <w:rPr>
          <w:rFonts w:ascii="Times New Roman" w:cs="Traditional Arabic" w:hAnsi="Times New Roman"/>
          <w:b w:val="false"/>
          <w:sz w:val="32"/>
          <w:szCs w:val="32"/>
          <w:rtl/>
        </w:rPr>
        <w:t xml:space="preserve">15.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كامل كيلاني. وندسور: مؤسّسة هنداوي، 2017.</w:t>
      </w:r>
    </w:p>
    <w:p>
      <w:pPr>
        <w:bidi/>
        <w:spacing w:after="40" w:before="0" w:line="360" w:lineRule="auto"/>
        <w:jc w:val="both"/>
      </w:pPr>
      <w:r>
        <w:rPr>
          <w:rFonts w:ascii="Times New Roman" w:cs="Traditional Arabic" w:hAnsi="Times New Roman"/>
          <w:b w:val="false"/>
          <w:sz w:val="32"/>
          <w:szCs w:val="32"/>
          <w:rtl/>
        </w:rPr>
        <w:t xml:space="preserve">16. المعرّي، أبو العلاء. </w:t>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بيروت: دار صادر، [د.ت].</w:t>
      </w:r>
    </w:p>
    <w:p>
      <w:pPr>
        <w:bidi/>
        <w:spacing w:after="40" w:before="0" w:line="360" w:lineRule="auto"/>
        <w:jc w:val="both"/>
      </w:pPr>
      <w:r>
        <w:rPr>
          <w:rFonts w:ascii="Times New Roman" w:cs="Traditional Arabic" w:hAnsi="Times New Roman"/>
          <w:b w:val="false"/>
          <w:sz w:val="32"/>
          <w:szCs w:val="32"/>
          <w:rtl/>
        </w:rPr>
        <w:t xml:space="preserve">17. المعرّي، أبو العلاء. </w:t>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اختيار وتقديم: أحمد رجب شلتوت. الجيزة: أزهى العربيّة للإعلام والفنون والدّراسات الإنسانيّة والنّشر، 2025.</w:t>
      </w:r>
    </w:p>
    <w:p>
      <w:pPr>
        <w:bidi/>
        <w:spacing w:after="40" w:before="0" w:line="360" w:lineRule="auto"/>
        <w:jc w:val="both"/>
      </w:pPr>
      <w:r>
        <w:rPr>
          <w:rFonts w:ascii="Times New Roman" w:cs="Traditional Arabic" w:hAnsi="Times New Roman"/>
          <w:b w:val="false"/>
          <w:sz w:val="32"/>
          <w:szCs w:val="32"/>
          <w:rtl/>
        </w:rPr>
        <w:t xml:space="preserve">18. المقدسي، أنيس. </w:t>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ط 8. بيروت: دار العلم للملايين، 1989.</w:t>
      </w:r>
    </w:p>
    <w:p>
      <w:pPr>
        <w:bidi/>
        <w:spacing w:after="40" w:before="0" w:line="360" w:lineRule="auto"/>
        <w:jc w:val="both"/>
      </w:pPr>
      <w:r>
        <w:rPr>
          <w:rFonts w:ascii="Times New Roman" w:cs="Traditional Arabic" w:hAnsi="Times New Roman"/>
          <w:b w:val="false"/>
          <w:sz w:val="32"/>
          <w:szCs w:val="32"/>
          <w:rtl/>
        </w:rPr>
        <w:t xml:space="preserve">19. الواد، حسين. </w:t>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20.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21.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كامل كيلاني)؛ والمعرّي،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"الأدب كإطار للمعارف في الموروث العربيّ الكلاسيكيّ"، 3.</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ولا دليل على اطّلاع المعرّي على رسالة ابن شهيد الّتي سبقت الغفران بقليل.</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 وانظر تفصيل الحياة الاقتصاديّة في عهده وما أصاب البلاد من قحط ووباء سنة 448هـ: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117.</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37-38.</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57، حيث يناقش ما استنتجه المتأخّرون من كلام المعرّي من نتائج غريبة ويردّ عليها.</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 وانظر ما جمعه الجندي ممّا قيل في فرط ذكائه وشدّة حفظه وضبطه لكلّ ما يسمع من أيّة لغة كانت: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543-544.</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 وقد جرد الجندي الكتب والرّسائل الّتي ألّفت في الطّعن فيه أو الرّدّ عليه ودفع الظّلم عنه: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529-532.</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 وانظر في خزانة كتبه وأخبارها: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563-564.</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مع تحفّظه على إخضاع النّصّ كلّه للتّحليل النّفسيّ.</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53-58 و63. ولعلّ القارئ المعاصر يلمح في هذه المشاهد نقدًا مبكّرًا للوساطات والمحسوبيّات.</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53-72.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28-29؛ والبيت من معلّقة زهير بن أبي سلمى.</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27-29. وفي هذا الغفران المنقوص سخرية بالغة: نعيم كامل إلّا من الشّيء الّذي عُرف به صاحبه في الدّنيا.</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هذه المحاورات مصدرًا مهمًّا لدراسة النّقد الأدبيّ القديم: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36-38 (محاورة آدم)، و73-76 (جنّة العفاريت وأبو هدرش).</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34، و23-52؛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87-95 (الجحيم: محاورة إبليس وإطلالة الخنساء).</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117 وما بعدها (الرّدّ على رسالة ابن القارح). وقد كان المعرّي يلقّب نفسه في رسائله بألقاب التّصاغر، وفي هذا التّصاغر المعلن وجه من وجوه سخريته المزدوجة.</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lang w:val="en-US"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ecaf26581e153dde661010a0b6699c66e3a5ef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2026-08-15T18:53:39.166Z</dcterms:created>
  <dcterms:modified xsi:type="dcterms:W3CDTF">2026-08-15T18:53:39.176Z</dcterms:modified>
</cp:coreProperties>
</file>

<file path=docProps/custom.xml><?xml version="1.0" encoding="utf-8"?>
<Properties xmlns="http://schemas.openxmlformats.org/officeDocument/2006/custom-properties" xmlns:vt="http://schemas.openxmlformats.org/officeDocument/2006/docPropsVTypes"/>
</file>