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40" w:line="360"/>
        <w:jc w:val="center"/>
      </w:pPr>
      <w:r>
        <w:rPr>
          <w:rFonts w:ascii="David" w:cs="David" w:eastAsia="David" w:hAnsi="David"/>
          <w:b/>
          <w:bCs/>
          <w:sz w:val="30"/>
          <w:szCs w:val="30"/>
          <w:rtl/>
        </w:rPr>
        <w:t xml:space="preserve">הגשת נושא לכתיבת עבודה סמינריונית בסמינריון</w:t>
      </w:r>
    </w:p>
    <w:p>
      <w:pPr>
        <w:bidi/>
        <w:spacing w:after="80" w:line="360"/>
        <w:jc w:val="center"/>
      </w:pPr>
      <w:r>
        <w:rPr>
          <w:rFonts w:ascii="David" w:cs="David" w:eastAsia="David" w:hAnsi="David"/>
          <w:sz w:val="24"/>
          <w:szCs w:val="24"/>
          <w:rtl/>
        </w:rPr>
        <w:t xml:space="preserve">קורס: סוגיות נבחרות בקרימינולוגיה ויהדות</w:t>
      </w:r>
    </w:p>
    <w:p>
      <w:pPr>
        <w:bidi/>
        <w:spacing w:after="320" w:line="360"/>
        <w:jc w:val="center"/>
      </w:pPr>
      <w:r>
        <w:rPr>
          <w:rFonts w:ascii="David" w:cs="David" w:eastAsia="David" w:hAnsi="David"/>
          <w:sz w:val="24"/>
          <w:szCs w:val="24"/>
          <w:rtl/>
        </w:rPr>
        <w:t xml:space="preserve">מרצה: פרופ' רויטל סלע-שיוביץ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מגיש/ה:</w:t>
      </w:r>
    </w:p>
    <w:p>
      <w:pPr>
        <w:bidi/>
        <w:spacing w:after="400" w:line="36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____________________ ת.ז ____________________</w:t>
      </w:r>
    </w:p>
    <w:p>
      <w:pPr>
        <w:bidi/>
        <w:spacing w:after="20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נושא העבודה: נשים ופשיעה – הפער המגדרי בעבריינות ביהדות ובקרימינולוגיה</w:t>
      </w:r>
    </w:p>
    <w:p>
      <w:pPr>
        <w:bidi/>
        <w:spacing w:after="400" w:line="36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שאלת המחקר: מדוע נשים עוברות פחות עבירות מגברים, וכיצד מוסבר הפער המגדרי בפשיעה בגישת היהדות לעומת הגישות בקרימינולוגיה?</w:t>
      </w:r>
    </w:p>
    <w:p>
      <w:pPr>
        <w:bidi/>
        <w:spacing w:after="20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u w:val="single"/>
          <w:rtl/>
        </w:rPr>
        <w:t xml:space="preserve">מקורות</w:t>
      </w:r>
    </w:p>
    <w:p>
      <w:pPr>
        <w:bidi/>
        <w:spacing w:after="160" w:line="36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בן יאיר, י' (2021). קרימינולוגיה רוחנית יהודית: בחזרה לשאלות יסוד. סוגיות חברתיות בישראל, 30(2), 368-337.</w:t>
      </w:r>
    </w:p>
    <w:p>
      <w:pPr>
        <w:bidi/>
        <w:spacing w:after="160" w:line="36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לרנאו, ח' (2023). עבריינות ואכיפת החוק: תיאוריה, מדיניות וביקורת. פרדס.</w:t>
      </w:r>
    </w:p>
    <w:p>
      <w:pPr>
        <w:bidi/>
        <w:spacing w:after="240" w:line="36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פרישטוק, מ' (2019). ויקטימולוגיה ויהדות: תיאוריה, טיפולוגיה, טיפול, מדיניות ויישום. אח.</w:t>
      </w:r>
    </w:p>
    <w:p>
      <w:pPr>
        <w:spacing w:after="160" w:line="360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Estrada, F., Bäckman, O., &amp; Nilsson, A. (2016). The darker side of equality? The declining gender gap in crime. British Journal of Criminology, 56(6), 1272-1290.</w:t>
      </w:r>
    </w:p>
    <w:p>
      <w:pPr>
        <w:spacing w:after="160" w:line="360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Naegler, L., &amp; Salman, S. (2016). Cultural criminology and gender consciousness: Moving feminist theory from margin to center. Feminist Criminology, 11(4), 354-374.</w:t>
      </w:r>
    </w:p>
    <w:p>
      <w:pPr>
        <w:spacing w:after="160" w:line="360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Sela-Shayovitz, R. (2017). Where are the girls? Gender trends in juvenile crime. Journal of Social Science Studies, 4(2), 71-85.</w:t>
      </w:r>
    </w:p>
    <w:p>
      <w:pPr>
        <w:spacing w:after="160" w:line="360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Steffensmeier, D., &amp; Allan, E. (1996). Gender and crime: Toward a gendered theory of female offending. Annual Review of Sociology, 22, 459-487.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2026-08-18T14:37:59.290Z</dcterms:created>
  <dcterms:modified xsi:type="dcterms:W3CDTF">2026-08-18T14:37:59.290Z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