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rFonts w:ascii="David" w:hAnsi="David" w:cs="David"/>
          <w:b/>
          <w:color w:val="000000"/>
          <w:sz w:val="32"/>
          <w:szCs w:val="32"/>
          <w:rtl w:val="1"/>
        </w:rPr>
        <w:t>מכללת לוינסקי לחינוך</w:t>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b w:val="0"/>
          <w:color w:val="000000"/>
          <w:sz w:val="24"/>
          <w:szCs w:val="24"/>
          <w:rtl w:val="1"/>
        </w:rPr>
        <w:t>במקביל, מנהיגות לצדק חברתי במוסדות חינוך נתפסת כיכולת לזהות חסמים תרבותיים ומבניים, ולהפוך את המוסד למרחב שבו מוענקת תחושת שייכות וצדק לכלל הילדים, ללא קשר לרקע הסוציו-אקונומי שלהם. מנהיגות אפקטיבית כזו דורשת תכונות אישיות של חמלה וצניעות, לצד נכונות לנקוט אסטרטגיות יצירתיות להסרת חסמים עבור ילדים מוחלשים. תפיסות אלה, שנחקרו בעיקר בהקשר של מנהלים ומורים, טרם נבחנו דיין בהקשר הייחודי של הגננת.</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pStyle w:val="Heading2"/>
        <w:bidi w:val="1"/>
        <w:spacing w:line="360" w:lineRule="auto" w:before="280" w:after="160"/>
        <w:jc w:val="both"/>
      </w:pPr>
      <w:r>
        <w:rPr>
          <w:rFonts w:ascii="David" w:hAnsi="David" w:cs="David"/>
          <w:b/>
          <w:color w:val="000000"/>
          <w:sz w:val="26"/>
          <w:szCs w:val="26"/>
          <w:rtl w:val="1"/>
          <w:rtl w:val="1"/>
        </w:rPr>
        <w:t>2.7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bidi w:val="1"/>
        <w:pStyle w:val="Heading2"/>
        <w:bidi w:val="1"/>
        <w:spacing w:line="360" w:lineRule="auto" w:before="280" w:after="160"/>
        <w:jc w:val="both"/>
      </w:pPr>
      <w:r>
        <w:rPr>
          <w:rFonts w:ascii="David" w:hAnsi="David" w:cs="David"/>
          <w:b/>
          <w:color w:val="000000"/>
          <w:sz w:val="26"/>
          <w:szCs w:val="26"/>
          <w:rtl w:val="1"/>
          <w:rtl w:val="1"/>
        </w:rPr>
        <w:t>4.10 מגבלות המחקר</w:t>
      </w:r>
    </w:p>
    <w:p>
      <w:pPr>
        <w:bidi w:val="1"/>
        <w:spacing w:line="360" w:lineRule="auto" w:before="0" w:after="120"/>
        <w:ind/>
        <w:jc w:val="both"/>
      </w:pPr>
      <w:r>
        <w:rPr>
          <w:rFonts w:ascii="David" w:hAnsi="David" w:cs="David"/>
          <w:b w:val="0"/>
          <w:color w:val="000000"/>
          <w:sz w:val="24"/>
          <w:szCs w:val="24"/>
          <w:rtl w:val="1"/>
        </w:rPr>
        <w:t>למחקר זה מספר מגבלות. ראשית, המדגם קטן (שש גננות) וכולל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before="0" w:after="120"/>
        <w:ind/>
        <w:jc w:val="both"/>
      </w:pPr>
      <w:r>
        <w:rPr>
          <w:rFonts w:ascii="David" w:hAnsi="David" w:cs="David"/>
          <w:b w:val="0"/>
          <w:color w:val="000000"/>
          <w:sz w:val="24"/>
          <w:szCs w:val="24"/>
          <w:rtl w:val="1"/>
        </w:rPr>
        <w:t>במסגרת המחקר רואיינו שש גננות בנוגע לתפיסתן את ההתנהלות הצודקת וההוגנת בגן. מניתוח הראיונות עלו שש קטגוריות גרעין מרכזיות, המספקות מענה לשאלת המחקר: (1) תפיסת המונח "צדק בגן"; (2) חלוקת משאב תשומת הלב הרגשית; (3) ההבחנה בין חלוקה שווה לחלוקה הוגנת; (4) חלוקת המשאבים הפיזיים והמרחב הקבוצתי; (5) צדק חברתי-כלכלי ומניעת בושה; (6) הגננת כסוכנת צדק וכמחנכת ערכים. להלן יפורטו הקטגוריות, בליווי ציטוטים מדגימים מדברי המרואיינות ועיגון בספרות המחקרית.</w:t>
      </w:r>
    </w:p>
    <w:p>
      <w:pPr>
        <w:bidi w:val="1"/>
        <w:pStyle w:val="Heading2"/>
        <w:bidi w:val="1"/>
        <w:spacing w:line="360" w:lineRule="auto" w:before="280" w:after="160"/>
        <w:jc w:val="both"/>
      </w:pPr>
      <w:r>
        <w:rPr>
          <w:rFonts w:ascii="David" w:hAnsi="David" w:cs="David"/>
          <w:b/>
          <w:color w:val="000000"/>
          <w:sz w:val="26"/>
          <w:szCs w:val="26"/>
          <w:rtl w:val="1"/>
          <w:rtl w:val="1"/>
        </w:rPr>
        <w:t>5.1 תפיסת המונח "צדק בגן"</w:t>
      </w:r>
    </w:p>
    <w:p>
      <w:pPr>
        <w:bidi w:val="1"/>
        <w:spacing w:line="360" w:lineRule="auto" w:before="0" w:after="120"/>
        <w:ind/>
        <w:jc w:val="both"/>
      </w:pPr>
      <w:r>
        <w:rPr>
          <w:rFonts w:ascii="David" w:hAnsi="David" w:cs="David"/>
          <w:b w:val="0"/>
          <w:color w:val="000000"/>
          <w:sz w:val="24"/>
          <w:szCs w:val="24"/>
          <w:rtl w:val="1"/>
        </w:rPr>
        <w:t>כל שש המרואיינות נתבקשו לתאר מה עולה בדעתן כשהן שומעות את המונח "צדק בגן". מן התשובות עלו שלוש תפיסות משנה, המשקפות דגשים שונים: צדק כראיית הילד הבודד וכערך מנחה, צדק כשוויון הזדמנויות, וצדק כהקשבה וכניהול מתחים בין צרכים.</w:t>
      </w:r>
    </w:p>
    <w:p>
      <w:pPr>
        <w:bidi w:val="1"/>
        <w:pStyle w:val="Heading3"/>
        <w:bidi w:val="1"/>
        <w:spacing w:line="360" w:lineRule="auto" w:before="280" w:after="160"/>
        <w:jc w:val="both"/>
      </w:pPr>
      <w:r>
        <w:rPr>
          <w:rFonts w:ascii="David" w:hAnsi="David" w:cs="David"/>
          <w:b/>
          <w:color w:val="000000"/>
          <w:sz w:val="24"/>
          <w:szCs w:val="24"/>
          <w:rtl w:val="1"/>
          <w:rtl w:val="1"/>
        </w:rPr>
        <w:t>5.1.1 צדק כראיית הילד הבודד וכערך מנחה</w:t>
      </w:r>
    </w:p>
    <w:p>
      <w:pPr>
        <w:bidi w:val="1"/>
        <w:spacing w:line="360" w:lineRule="auto" w:before="0" w:after="120"/>
        <w:ind/>
        <w:jc w:val="both"/>
      </w:pPr>
      <w:r>
        <w:rPr>
          <w:rFonts w:ascii="David" w:hAnsi="David" w:cs="David"/>
          <w:b w:val="0"/>
          <w:color w:val="000000"/>
          <w:sz w:val="24"/>
          <w:szCs w:val="24"/>
          <w:rtl w:val="1"/>
        </w:rPr>
        <w:t>מרואיינות אחדות תיארו את הצדק בגן כערך מנחה שעניינו ראיית הילד הספציפי ומתן מענה למה שהוא צריך, גם כאשר משמעות הדבר חלוקה שאינה זהה. שירה, שהגיעה מעולם העבודה הסוציאלית, ניסחה זאת:</w:t>
      </w:r>
    </w:p>
    <w:p>
      <w:pPr>
        <w:bidi w:val="1"/>
        <w:spacing w:line="360" w:lineRule="auto" w:before="80" w:after="160"/>
        <w:ind w:right="600" w:left="600"/>
        <w:jc w:val="both"/>
      </w:pPr>
      <w:r>
        <w:rPr>
          <w:rFonts w:ascii="David" w:hAnsi="David" w:cs="David"/>
          <w:i/>
          <w:color w:val="000000"/>
          <w:szCs w:val="24"/>
          <w:rtl w:val="1"/>
        </w:rPr>
        <w:t>"אבל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תמר הדגישה כי תפיסה זו דורשת עבודה והיכרות מעמיקה, ואינה מסתכמת בחלוקה שווה ופשוטה:</w:t>
      </w:r>
    </w:p>
    <w:p>
      <w:pPr>
        <w:bidi w:val="1"/>
        <w:spacing w:line="360" w:lineRule="auto" w:before="80" w:after="160"/>
        <w:ind w:right="600" w:left="600"/>
        <w:jc w:val="both"/>
      </w:pPr>
      <w:r>
        <w:rPr>
          <w:rFonts w:ascii="David" w:hAnsi="David" w:cs="David"/>
          <w:i/>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w:t>
      </w:r>
      <w:r>
        <w:rPr>
          <w:rFonts w:ascii="David" w:hAnsi="David" w:cs="David"/>
          <w:i/>
          <w:color w:val="000000"/>
          <w:szCs w:val="24"/>
          <w:rtl w:val="1"/>
        </w:rPr>
        <w:t xml:space="preserve">  (מרואיינת 4)</w:t>
      </w:r>
    </w:p>
    <w:p>
      <w:pPr>
        <w:bidi w:val="1"/>
        <w:spacing w:line="360" w:lineRule="auto" w:before="0" w:after="120"/>
        <w:ind/>
        <w:jc w:val="both"/>
      </w:pPr>
      <w:r>
        <w:rPr>
          <w:rFonts w:ascii="David" w:hAnsi="David" w:cs="David"/>
          <w:b w:val="0"/>
          <w:color w:val="000000"/>
          <w:sz w:val="24"/>
          <w:szCs w:val="24"/>
          <w:rtl w:val="1"/>
        </w:rPr>
        <w:t>תפיסה זו עולה בקנה אחד עם עיקרון הצורך בגישה הרב-ממדית לצדק חלוקתי, הקורא לחלוקה דיפרנציאלית המתעדפת את מי שזקוקים לתמיכה יתרה (Connell, 1993; סבג וביברמן-שלו, 2014). היא אף מהדהדת את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before="280" w:after="160"/>
        <w:jc w:val="both"/>
      </w:pPr>
      <w:r>
        <w:rPr>
          <w:rFonts w:ascii="David" w:hAnsi="David" w:cs="David"/>
          <w:b/>
          <w:color w:val="000000"/>
          <w:sz w:val="24"/>
          <w:szCs w:val="24"/>
          <w:rtl w:val="1"/>
          <w:rtl w:val="1"/>
        </w:rPr>
        <w:t>5.1.2 צדק כשוויון הזדמנויות וכצמצום פערים</w:t>
      </w:r>
    </w:p>
    <w:p>
      <w:pPr>
        <w:bidi w:val="1"/>
        <w:spacing w:line="360" w:lineRule="auto" w:before="0" w:after="120"/>
        <w:ind/>
        <w:jc w:val="both"/>
      </w:pPr>
      <w:r>
        <w:rPr>
          <w:rFonts w:ascii="David" w:hAnsi="David" w:cs="David"/>
          <w:b w:val="0"/>
          <w:color w:val="000000"/>
          <w:sz w:val="24"/>
          <w:szCs w:val="24"/>
          <w:rtl w:val="1"/>
        </w:rPr>
        <w:t>מרואיינות אחרות, ובמיוחד אלה המלמדות באוכלוסיות מוחלשות, הדגישו את ממד שוויון ההזדמנויות, כלומר את החתירה לכך שכל ילד, יהיה רקעו אשר יהיה, יזכה לאותה הזדמנות לממש את הפוטנציאל שלו. אסתר תיארה זאת כשליחות:</w:t>
      </w:r>
    </w:p>
    <w:p>
      <w:pPr>
        <w:bidi w:val="1"/>
        <w:spacing w:line="360" w:lineRule="auto" w:before="80" w:after="160"/>
        <w:ind w:right="600" w:left="600"/>
        <w:jc w:val="both"/>
      </w:pPr>
      <w:r>
        <w:rPr>
          <w:rFonts w:ascii="David" w:hAnsi="David" w:cs="David"/>
          <w:i/>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תפיסה זו תואמת את ההמשגה של שוויון ההזדמנויות כשווה-ערך לצדק החברתי בחינוך, בייחוד בגישתו המהותית, המבקשת להתחשב בנקודת הפתיחה השונה של הילד ולפעול לצמצום פערים מובְנים (דהאן, 2010; אדלר ובלס, 2009).</w:t>
      </w:r>
    </w:p>
    <w:p>
      <w:pPr>
        <w:bidi w:val="1"/>
        <w:pStyle w:val="Heading3"/>
        <w:bidi w:val="1"/>
        <w:spacing w:line="360" w:lineRule="auto" w:before="280" w:after="160"/>
        <w:jc w:val="both"/>
      </w:pPr>
      <w:r>
        <w:rPr>
          <w:rFonts w:ascii="David" w:hAnsi="David" w:cs="David"/>
          <w:b/>
          <w:color w:val="000000"/>
          <w:sz w:val="24"/>
          <w:szCs w:val="24"/>
          <w:rtl w:val="1"/>
          <w:rtl w:val="1"/>
        </w:rPr>
        <w:t>5.1.3 צדק כהקשבה וכניהול מתחים</w:t>
      </w:r>
    </w:p>
    <w:p>
      <w:pPr>
        <w:bidi w:val="1"/>
        <w:spacing w:line="360" w:lineRule="auto" w:before="0" w:after="120"/>
        <w:ind/>
        <w:jc w:val="both"/>
      </w:pPr>
      <w:r>
        <w:rPr>
          <w:rFonts w:ascii="David" w:hAnsi="David" w:cs="David"/>
          <w:b w:val="0"/>
          <w:color w:val="000000"/>
          <w:sz w:val="24"/>
          <w:szCs w:val="24"/>
          <w:rtl w:val="1"/>
        </w:rPr>
        <w:t>נעמה, שעולמה המקצועי רגשי, הציגה תפיסה ייחודית שלפיה הצדק אינו תשובה מוכנה אלא תהליך של הקשבה וניהול מתחים בין צרכים מתנגשים:</w:t>
      </w:r>
    </w:p>
    <w:p>
      <w:pPr>
        <w:bidi w:val="1"/>
        <w:spacing w:line="360" w:lineRule="auto" w:before="80" w:after="160"/>
        <w:ind w:right="600" w:left="600"/>
        <w:jc w:val="both"/>
      </w:pPr>
      <w:r>
        <w:rPr>
          <w:rFonts w:ascii="David" w:hAnsi="David" w:cs="David"/>
          <w:i/>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w:t>
      </w:r>
      <w:r>
        <w:rPr>
          <w:rFonts w:ascii="David" w:hAnsi="David" w:cs="David"/>
          <w:i/>
          <w:color w:val="000000"/>
          <w:szCs w:val="24"/>
          <w:rtl w:val="1"/>
        </w:rPr>
        <w:t xml:space="preserve">  (מרואיינת 5)</w:t>
      </w:r>
    </w:p>
    <w:p>
      <w:pPr>
        <w:bidi w:val="1"/>
        <w:spacing w:line="360" w:lineRule="auto" w:before="0" w:after="120"/>
        <w:ind/>
        <w:jc w:val="both"/>
      </w:pPr>
      <w:r>
        <w:rPr>
          <w:rFonts w:ascii="David" w:hAnsi="David" w:cs="David"/>
          <w:b w:val="0"/>
          <w:color w:val="000000"/>
          <w:sz w:val="24"/>
          <w:szCs w:val="24"/>
          <w:rtl w:val="1"/>
        </w:rPr>
        <w:t>תפיסה זו מתכתבת עם מושג הצדק האינטראקציוני והפרוצדורלי, המדגיש כי לא רק תוצאת החלוקה חשובה, אלא בעיקר איכות היחס וההליך: מתן כבוד, הגינות ותחושה של הכרה והקשבה (Horan, Chory &amp; Goodboy, 2010; Jiang et al., 2018).</w:t>
      </w:r>
    </w:p>
    <w:p>
      <w:pPr>
        <w:bidi w:val="1"/>
        <w:pStyle w:val="Heading2"/>
        <w:bidi w:val="1"/>
        <w:spacing w:line="360" w:lineRule="auto" w:before="280" w:after="160"/>
        <w:jc w:val="both"/>
      </w:pPr>
      <w:r>
        <w:rPr>
          <w:rFonts w:ascii="David" w:hAnsi="David" w:cs="David"/>
          <w:b/>
          <w:color w:val="000000"/>
          <w:sz w:val="26"/>
          <w:szCs w:val="26"/>
          <w:rtl w:val="1"/>
          <w:rtl w:val="1"/>
        </w:rPr>
        <w:t>5.2 חלוקת משאב תשומת הלב הרגשית</w:t>
      </w:r>
    </w:p>
    <w:p>
      <w:pPr>
        <w:bidi w:val="1"/>
        <w:spacing w:line="360" w:lineRule="auto" w:before="0" w:after="120"/>
        <w:ind/>
        <w:jc w:val="both"/>
      </w:pPr>
      <w:r>
        <w:rPr>
          <w:rFonts w:ascii="David" w:hAnsi="David" w:cs="David"/>
          <w:b w:val="0"/>
          <w:color w:val="000000"/>
          <w:sz w:val="24"/>
          <w:szCs w:val="24"/>
          <w:rtl w:val="1"/>
        </w:rPr>
        <w:t>כל המרואיינות התייחסו לתשומת הלב הרגשית כאל משאב מרכזי, ואולי המרכזי ביותר, שהן נדרשות לחלק בצדק. מן הראיונות עלו שני עקרונות משלימים: חלוקה לפי צורך, ותשומת לב מיוחדת לילד השקט.</w:t>
      </w:r>
    </w:p>
    <w:p>
      <w:pPr>
        <w:bidi w:val="1"/>
        <w:pStyle w:val="Heading3"/>
        <w:bidi w:val="1"/>
        <w:spacing w:line="360" w:lineRule="auto" w:before="280" w:after="160"/>
        <w:jc w:val="both"/>
      </w:pPr>
      <w:r>
        <w:rPr>
          <w:rFonts w:ascii="David" w:hAnsi="David" w:cs="David"/>
          <w:b/>
          <w:color w:val="000000"/>
          <w:sz w:val="24"/>
          <w:szCs w:val="24"/>
          <w:rtl w:val="1"/>
          <w:rtl w:val="1"/>
        </w:rPr>
        <w:t>5.2.1 חלוקה לפי עיקרון הצורך</w:t>
      </w:r>
    </w:p>
    <w:p>
      <w:pPr>
        <w:bidi w:val="1"/>
        <w:spacing w:line="360" w:lineRule="auto" w:before="0" w:after="120"/>
        <w:ind/>
        <w:jc w:val="both"/>
      </w:pPr>
      <w:r>
        <w:rPr>
          <w:rFonts w:ascii="David" w:hAnsi="David" w:cs="David"/>
          <w:b w:val="0"/>
          <w:color w:val="000000"/>
          <w:sz w:val="24"/>
          <w:szCs w:val="24"/>
          <w:rtl w:val="1"/>
        </w:rPr>
        <w:t>רוב המרואיינות תיארו כי הן מעניקות תשומת לב מוגברת לילד שזקוק לה, מתוך הבנה שזוהי הוגנות ולא הפליה. רבקה תיארה אסטרטגיה מגובשת:</w:t>
      </w:r>
    </w:p>
    <w:p>
      <w:pPr>
        <w:bidi w:val="1"/>
        <w:spacing w:line="360" w:lineRule="auto" w:before="80" w:after="160"/>
        <w:ind w:right="600" w:left="600"/>
        <w:jc w:val="both"/>
      </w:pPr>
      <w:r>
        <w:rPr>
          <w:rFonts w:ascii="David" w:hAnsi="David" w:cs="David"/>
          <w:i/>
          <w:color w:val="000000"/>
          <w:szCs w:val="24"/>
          <w:rtl w:val="1"/>
        </w:rPr>
        <w:t>"אלה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שירה הוסיפה כי היא מגייסת את הקבוצה לשותפות במקום להותיר אותה בתחושת קיפוח, וכי בלי הצוות התומך לא ניתן לתת לילד הבודד את שהוא צריך. תפיסות אלה מבטאות יישום מובהק של עיקרון הצורך בחלוקת המשאב הרך, ומדגימות את המתח בין אינטרס הפרט לטובת הכלל, מתח שהוא חלק בלתי נפרד מן העשייה החינוכית (סבג וביברמן-שלו, 2014).</w:t>
      </w:r>
    </w:p>
    <w:p>
      <w:pPr>
        <w:bidi w:val="1"/>
        <w:pStyle w:val="Heading3"/>
        <w:bidi w:val="1"/>
        <w:spacing w:line="360" w:lineRule="auto" w:before="280" w:after="160"/>
        <w:jc w:val="both"/>
      </w:pPr>
      <w:r>
        <w:rPr>
          <w:rFonts w:ascii="David" w:hAnsi="David" w:cs="David"/>
          <w:b/>
          <w:color w:val="000000"/>
          <w:sz w:val="24"/>
          <w:szCs w:val="24"/>
          <w:rtl w:val="1"/>
          <w:rtl w:val="1"/>
        </w:rPr>
        <w:t>5.2.2 הילד השקט: מאבק בעוול הסמוי</w:t>
      </w:r>
    </w:p>
    <w:p>
      <w:pPr>
        <w:bidi w:val="1"/>
        <w:spacing w:line="360" w:lineRule="auto" w:before="0" w:after="120"/>
        <w:ind/>
        <w:jc w:val="both"/>
      </w:pPr>
      <w:r>
        <w:rPr>
          <w:rFonts w:ascii="David" w:hAnsi="David" w:cs="David"/>
          <w:b w:val="0"/>
          <w:color w:val="000000"/>
          <w:sz w:val="24"/>
          <w:szCs w:val="24"/>
          <w:rtl w:val="1"/>
        </w:rPr>
        <w:t>ממצא בולט וחוזר היה המודעות לכך שהילד השקט והנוח הוא זה הנמצא בסיכון הגדול ביותר להיעלם מן הרדאר לטובת הרועש והדורש. יעל, גננת צעירה, תיארה זאת כרגע מכונן שבו תיעדה את חלוקת תשומת הלב שלה:</w:t>
      </w:r>
    </w:p>
    <w:p>
      <w:pPr>
        <w:bidi w:val="1"/>
        <w:spacing w:line="360" w:lineRule="auto" w:before="80" w:after="160"/>
        <w:ind w:right="600" w:left="600"/>
        <w:jc w:val="both"/>
      </w:pPr>
      <w:r>
        <w:rPr>
          <w:rFonts w:ascii="David" w:hAnsi="David" w:cs="David"/>
          <w:i/>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אסתר, המלמדת בגן עתיר צרכים, הדגישה כי דווקא בסביבה שבה הצרכים הגדולים תופסים מקום רב, קל לשקט להיבלע, ולכן היא מחפשת אותו באופן פעיל. מודעות זו ממחישה כי הגננות תופסות את חלוקת תשומת הלב לא כתהליך אינטואיטיבי בלבד אלא כפעולה מכוונת ושיטתית, שכן ההיענות האינטואיטיבית לרועש עלולה כשלעצמה להוליד אי-צדק.</w:t>
      </w:r>
    </w:p>
    <w:p>
      <w:pPr>
        <w:bidi w:val="1"/>
        <w:pStyle w:val="Heading2"/>
        <w:bidi w:val="1"/>
        <w:spacing w:line="360" w:lineRule="auto" w:before="280" w:after="160"/>
        <w:jc w:val="both"/>
      </w:pPr>
      <w:r>
        <w:rPr>
          <w:rFonts w:ascii="David" w:hAnsi="David" w:cs="David"/>
          <w:b/>
          <w:color w:val="000000"/>
          <w:sz w:val="26"/>
          <w:szCs w:val="26"/>
          <w:rtl w:val="1"/>
          <w:rtl w:val="1"/>
        </w:rPr>
        <w:t>5.3 ההבחנה בין חלוקה שווה לחלוקה הוגנת</w:t>
      </w:r>
    </w:p>
    <w:p>
      <w:pPr>
        <w:bidi w:val="1"/>
        <w:spacing w:line="360" w:lineRule="auto" w:before="0" w:after="120"/>
        <w:ind/>
        <w:jc w:val="both"/>
      </w:pPr>
      <w:r>
        <w:rPr>
          <w:rFonts w:ascii="David" w:hAnsi="David" w:cs="David"/>
          <w:b w:val="0"/>
          <w:color w:val="000000"/>
          <w:sz w:val="24"/>
          <w:szCs w:val="24"/>
          <w:rtl w:val="1"/>
        </w:rPr>
        <w:t>כל שש המרואיינות הבחינו באופן חד וברור בין חלוקה "שווה" לחלוקה "הוגנת", ותפסו את ההוגנות כעולה על השוויון המכני. ההבחנה הודגמה בדוגמאות קונקרטיות מן הגן. אסתר תיארה דוגמה מזמן הארוחה:</w:t>
      </w:r>
    </w:p>
    <w:p>
      <w:pPr>
        <w:bidi w:val="1"/>
        <w:spacing w:line="360" w:lineRule="auto" w:before="80" w:after="160"/>
        <w:ind w:right="600" w:left="600"/>
        <w:jc w:val="both"/>
      </w:pPr>
      <w:r>
        <w:rPr>
          <w:rFonts w:ascii="David" w:hAnsi="David" w:cs="David"/>
          <w:i/>
          <w:color w:val="000000"/>
          <w:szCs w:val="24"/>
          <w:rtl w:val="1"/>
        </w:rPr>
        <w:t>"אצל הילד הרעב זו אותה שאלה. פרוסה לכולם זה שווה, אבל להביא ליוסי עוד ארוחה בבוקר בלי לספר לאף אחד זה הוגן. אני חיה על ההבחנה הזאת."</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תמר תיארה כיצד ויתרה על תחרויות ריצה קלאסיות לטובת משחקים שיתופיים, כדי שילד עם קושי מוטורי לא יחווה השפלה, ויעל סיפרה כי היא מלמדת את ההבחנה במפורש באמצעות דימוי חזותי של ילדים בגבהים שונים הזקוקים למספר שונה של ארגזים:</w:t>
      </w:r>
    </w:p>
    <w:p>
      <w:pPr>
        <w:bidi w:val="1"/>
        <w:spacing w:line="360" w:lineRule="auto" w:before="80" w:after="160"/>
        <w:ind w:right="600" w:left="600"/>
        <w:jc w:val="both"/>
      </w:pPr>
      <w:r>
        <w:rPr>
          <w:rFonts w:ascii="David" w:hAnsi="David" w:cs="David"/>
          <w:i/>
          <w:color w:val="000000"/>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ממצא זה הוא לב לבו של המחקר, והוא מבטא באופן מובהק את המעבר מן התפיסה הפורמלית של השוויון אל ההוגנות המהותית, המבוססת על עיקרון הצורך (דהאן, 2010; Connell, 1993). ההבחנה החדה שעורכות כל הגננות מעידה כי בגן, בהיעדר משאב מדיד כמו ציון, ההוגנות מבוססת-הצורך היא עקרון החלוקה הדומיננטי בעיניהן.</w:t>
      </w:r>
    </w:p>
    <w:p>
      <w:pPr>
        <w:bidi w:val="1"/>
        <w:pStyle w:val="Heading2"/>
        <w:bidi w:val="1"/>
        <w:spacing w:line="360" w:lineRule="auto" w:before="280" w:after="160"/>
        <w:jc w:val="both"/>
      </w:pPr>
      <w:r>
        <w:rPr>
          <w:rFonts w:ascii="David" w:hAnsi="David" w:cs="David"/>
          <w:b/>
          <w:color w:val="000000"/>
          <w:sz w:val="26"/>
          <w:szCs w:val="26"/>
          <w:rtl w:val="1"/>
          <w:rtl w:val="1"/>
        </w:rPr>
        <w:t>5.4 חלוקת המשאבים הפיזיים והמרחב הקבוצתי</w:t>
      </w:r>
    </w:p>
    <w:p>
      <w:pPr>
        <w:bidi w:val="1"/>
        <w:pStyle w:val="Heading3"/>
        <w:bidi w:val="1"/>
        <w:spacing w:line="360" w:lineRule="auto" w:before="280" w:after="160"/>
        <w:jc w:val="both"/>
      </w:pPr>
      <w:r>
        <w:rPr>
          <w:rFonts w:ascii="David" w:hAnsi="David" w:cs="David"/>
          <w:b/>
          <w:color w:val="000000"/>
          <w:sz w:val="24"/>
          <w:szCs w:val="24"/>
          <w:rtl w:val="1"/>
          <w:rtl w:val="1"/>
        </w:rPr>
        <w:t>5.4.1 שקיפות, תור וכללים משותפים</w:t>
      </w:r>
    </w:p>
    <w:p>
      <w:pPr>
        <w:bidi w:val="1"/>
        <w:spacing w:line="360" w:lineRule="auto" w:before="0" w:after="120"/>
        <w:ind/>
        <w:jc w:val="both"/>
      </w:pPr>
      <w:r>
        <w:rPr>
          <w:rFonts w:ascii="David" w:hAnsi="David" w:cs="David"/>
          <w:b w:val="0"/>
          <w:color w:val="000000"/>
          <w:sz w:val="24"/>
          <w:szCs w:val="24"/>
          <w:rtl w:val="1"/>
        </w:rPr>
        <w:t>המרואיינות תיארו כי חלוקת המשאבים הפיזיים (צעצועים, ציוד, אופניים) מתבצעת באמצעות מערכות שקופות של תורים וכללים. רבקה הדגישה כי השקיפות עצמה היא מקור ההוגנות:</w:t>
      </w:r>
    </w:p>
    <w:p>
      <w:pPr>
        <w:bidi w:val="1"/>
        <w:spacing w:line="360" w:lineRule="auto" w:before="80" w:after="160"/>
        <w:ind w:right="600" w:left="600"/>
        <w:jc w:val="both"/>
      </w:pPr>
      <w:r>
        <w:rPr>
          <w:rFonts w:ascii="David" w:hAnsi="David" w:cs="David"/>
          <w:i/>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יעל הוסיפה ממד של שיתוף הילדים בקביעת הכללים, מתוך אמונה שתחושת הבעלות מחזקת את המחויבות ואת תפיסת ההוגנות. גישות אלה מבטאות את חשיבותו של הצדק הפרוצדורלי, כלומר של ההליך השקוף והעקבי, בבניית תחושת האמון וההוגנות בקרב הילדים (Jiang et al., 2018).</w:t>
      </w:r>
    </w:p>
    <w:p>
      <w:pPr>
        <w:bidi w:val="1"/>
        <w:pStyle w:val="Heading3"/>
        <w:bidi w:val="1"/>
        <w:spacing w:line="360" w:lineRule="auto" w:before="280" w:after="160"/>
        <w:jc w:val="both"/>
      </w:pPr>
      <w:r>
        <w:rPr>
          <w:rFonts w:ascii="David" w:hAnsi="David" w:cs="David"/>
          <w:b/>
          <w:color w:val="000000"/>
          <w:sz w:val="24"/>
          <w:szCs w:val="24"/>
          <w:rtl w:val="1"/>
          <w:rtl w:val="1"/>
        </w:rPr>
        <w:t>5.4.2 איזון המרחב הקבוצתי והתמודדות עם הדרה</w:t>
      </w:r>
    </w:p>
    <w:p>
      <w:pPr>
        <w:bidi w:val="1"/>
        <w:spacing w:line="360" w:lineRule="auto" w:before="0" w:after="120"/>
        <w:ind/>
        <w:jc w:val="both"/>
      </w:pPr>
      <w:r>
        <w:rPr>
          <w:rFonts w:ascii="David" w:hAnsi="David" w:cs="David"/>
          <w:b w:val="0"/>
          <w:color w:val="000000"/>
          <w:sz w:val="24"/>
          <w:szCs w:val="24"/>
          <w:rtl w:val="1"/>
        </w:rPr>
        <w:t>כל המרואיינות תיארו התמודדות עם ילד ה"לוקח" מקום רב במרחב הקבוצתי, ועם מצבים של הדרה חברתית. עמדתן המשותפת הייתה שאין לדכא את הילד הדומיננטי אלא לתעל אותו, ובד בבד להעצים את השקטים, כדי לאזן את המרחב על-ידי הגדלה של אחרים ולא על-ידי הקטנה של מישהו. באשר להדרה, הדגישו המרואיינות כי אין לכפות משחק, אלא לשקם את מעמדו החברתי של הילד המודר. אסתר קישרה זאת במפורש לצדק חברתי:</w:t>
      </w:r>
    </w:p>
    <w:p>
      <w:pPr>
        <w:bidi w:val="1"/>
        <w:spacing w:line="360" w:lineRule="auto" w:before="80" w:after="160"/>
        <w:ind w:right="600" w:left="600"/>
        <w:jc w:val="both"/>
      </w:pPr>
      <w:r>
        <w:rPr>
          <w:rFonts w:ascii="David" w:hAnsi="David" w:cs="David"/>
          <w:i/>
          <w:color w:val="000000"/>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ממצא זה ממחיש כיצד ההדרה החברתית נתפסת בעיני הגננות לא רק כבעיה חברתית-רגשית, אלא כסוגיית צדק חלוקתי מובהקת, שבה תפקידה של הגננת הוא התערבות אקטיבית לצמצום עוול (Lang et al., 2024).</w:t>
      </w:r>
    </w:p>
    <w:p>
      <w:pPr>
        <w:bidi w:val="1"/>
        <w:pStyle w:val="Heading2"/>
        <w:bidi w:val="1"/>
        <w:spacing w:line="360" w:lineRule="auto" w:before="280" w:after="160"/>
        <w:jc w:val="both"/>
      </w:pPr>
      <w:r>
        <w:rPr>
          <w:rFonts w:ascii="David" w:hAnsi="David" w:cs="David"/>
          <w:b/>
          <w:color w:val="000000"/>
          <w:sz w:val="26"/>
          <w:szCs w:val="26"/>
          <w:rtl w:val="1"/>
          <w:rtl w:val="1"/>
        </w:rPr>
        <w:t>5.5 צדק חברתי-כלכלי ומניעת בושה</w:t>
      </w:r>
    </w:p>
    <w:p>
      <w:pPr>
        <w:bidi w:val="1"/>
        <w:spacing w:line="360" w:lineRule="auto" w:before="0" w:after="120"/>
        <w:ind/>
        <w:jc w:val="both"/>
      </w:pPr>
      <w:r>
        <w:rPr>
          <w:rFonts w:ascii="David" w:hAnsi="David" w:cs="David"/>
          <w:b w:val="0"/>
          <w:color w:val="000000"/>
          <w:sz w:val="24"/>
          <w:szCs w:val="24"/>
          <w:rtl w:val="1"/>
        </w:rPr>
        <w:t>כל המרואיינות זיהו את הרקע החברתי-כלכלי השונה של הילדים כסוגיה מרכזית, ותיארו מאמץ מכוון למנוע בושה ולצמצם את החשיפה של הפערים. רבקה תיארה כלל אחיד שקבעה לגבי ימי הולדת:</w:t>
      </w:r>
    </w:p>
    <w:p>
      <w:pPr>
        <w:bidi w:val="1"/>
        <w:spacing w:line="360" w:lineRule="auto" w:before="80" w:after="160"/>
        <w:ind w:right="600" w:left="600"/>
        <w:jc w:val="both"/>
      </w:pPr>
      <w:r>
        <w:rPr>
          <w:rFonts w:ascii="David" w:hAnsi="David" w:cs="David"/>
          <w:i/>
          <w:color w:val="000000"/>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תמר, שגדלה בעצמה במיעוט אמצעים, תיארה החלטה עקרונית שכל החומרים המשמעותיים יגיעו מן הגן ולא מן הבית, כדי שברגע שהילדים עוברים את שער הגן הם נכנסים למרחב שבו כולם שווים. מאמצים אלה מבטאים תפיסה של הגן כמרחב המבקש לצמצם פערים ולא לשקף אותם, ומתחברים לספרות על הצדק החברתי בחינוך כפעולה מתקנת מול ריבוד חברתי-כלכלי (דהאן, 2010; אדלר ובלס, 2009; Elenbaas &amp; Mistry, 2021).</w:t>
      </w:r>
    </w:p>
    <w:p>
      <w:pPr>
        <w:bidi w:val="1"/>
        <w:pStyle w:val="Heading2"/>
        <w:bidi w:val="1"/>
        <w:spacing w:line="360" w:lineRule="auto" w:before="280" w:after="160"/>
        <w:jc w:val="both"/>
      </w:pPr>
      <w:r>
        <w:rPr>
          <w:rFonts w:ascii="David" w:hAnsi="David" w:cs="David"/>
          <w:b/>
          <w:color w:val="000000"/>
          <w:sz w:val="26"/>
          <w:szCs w:val="26"/>
          <w:rtl w:val="1"/>
          <w:rtl w:val="1"/>
        </w:rPr>
        <w:t>5.6 הגננת כסוכנת צדק וכמחנכת ערכים</w:t>
      </w:r>
    </w:p>
    <w:p>
      <w:pPr>
        <w:bidi w:val="1"/>
        <w:spacing w:line="360" w:lineRule="auto" w:before="0" w:after="120"/>
        <w:ind/>
        <w:jc w:val="both"/>
      </w:pPr>
      <w:r>
        <w:rPr>
          <w:rFonts w:ascii="David" w:hAnsi="David" w:cs="David"/>
          <w:b w:val="0"/>
          <w:color w:val="000000"/>
          <w:sz w:val="24"/>
          <w:szCs w:val="24"/>
          <w:rtl w:val="1"/>
        </w:rPr>
        <w:t>כל שש המרואיינות תפסו את תפקידן ככולל, ואף כמתמקד, בקידום ערכים של שוויון וצדק חברתי, וראו בכך שליחות ולא תוספת. הן הדגישו כי הילדים לומדים צדק לא מהטפה אלא מדוגמה אישית. שירה ניסחה זאת:</w:t>
      </w:r>
    </w:p>
    <w:p>
      <w:pPr>
        <w:bidi w:val="1"/>
        <w:spacing w:line="360" w:lineRule="auto" w:before="80" w:after="160"/>
        <w:ind w:right="600" w:left="600"/>
        <w:jc w:val="both"/>
      </w:pPr>
      <w:r>
        <w:rPr>
          <w:rFonts w:ascii="David" w:hAnsi="David" w:cs="David"/>
          <w:i/>
          <w:color w:val="000000"/>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המרואיינות תיארו כי גיל הגן הוא הגיל שבו נבנות התפיסות הבסיסיות על שוויון ושייכות, וכי הן רואות עצמן זורעות את יסודות החברה העתידית. תפיסה זו תואמת את ההמשגה של הגננת כסוכנת הצדק הראשונה של הילד, ומתכתבת עם הספרות המדגישה את תפקידה כדמות מוסרית וכסוכנת שינוי, אך גם עם הממצא בדבר השונות הרבה בין גננות במידת המודעות המפורשת ובכלים שברשותן (Solehuddin &amp; Adriany, 2017; Lang et al., 2024; Ryan &amp; Grieshaber, 2024).</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6. דיון וסיכום</w:t>
      </w:r>
    </w:p>
    <w:p>
      <w:pPr>
        <w:bidi w:val="1"/>
        <w:spacing w:line="360" w:lineRule="auto" w:before="0" w:after="120"/>
        <w:ind/>
        <w:jc w:val="both"/>
      </w:pPr>
      <w:r>
        <w:rPr>
          <w:rFonts w:ascii="David" w:hAnsi="David" w:cs="David"/>
          <w:b w:val="0"/>
          <w:color w:val="000000"/>
          <w:sz w:val="24"/>
          <w:szCs w:val="24"/>
          <w:rtl w:val="1"/>
        </w:rPr>
        <w:t>המחקר הנוכחי בחן כיצד גננות תופסות ומגדירות התנהלות צודקת והוגנת במסגרת הגן. ממצאי המחקר מלמדים כי הגננת חווה את סוגיית הצדק כסוגיה יומיומית, מוחשית ובלתי פוסקת, המתרחשת בכל החלטה זעירה של מי ראשון, מי מקבל תשומת לב ומי זוכה בתפקיד. בניגוד לבית הספר, שבו הצדק נבחן דרך משאב מדיד כמו ציון, בגן מתרכזת סוגיית הצדק סביב חלוקתם של משאבים רכים: תשומת לב רגשית, זמן, מרחב וקבלת תפקידים.</w:t>
      </w:r>
    </w:p>
    <w:p>
      <w:pPr>
        <w:bidi w:val="1"/>
        <w:spacing w:line="360" w:lineRule="auto" w:before="0" w:after="120"/>
        <w:ind/>
        <w:jc w:val="both"/>
      </w:pPr>
      <w:r>
        <w:rPr>
          <w:rFonts w:ascii="David" w:hAnsi="David" w:cs="David"/>
          <w:b w:val="0"/>
          <w:color w:val="000000"/>
          <w:sz w:val="24"/>
          <w:szCs w:val="24"/>
          <w:rtl w:val="1"/>
        </w:rPr>
        <w:t>הממצא המרכזי והחוזר ביותר הוא ההבחנה החדה שעורכות כל הגננות בין חלוקה שווה לחלוקה הוגנת, והעדפתן הברורה את ההוגנות מבוססת-הצורך על פני השוויון המכני. כל שש המרואיינות, ללא יוצאת מן הכלל, הדגימו זאת בדוגמאות קונקרטיות מן הגן, ותיארו כיצד הן נותנות יותר למי שזקוק, לעיתים אף באמצעות שינוי כללי המשחק עצמם. ממצא זה תואם את עיקרון הצורך בגישה הרב-ממדית לצדק חלוקתי (סבג וביברמן-שלו, 2014; Connell, 1993), ומחזק את התובנה כי בגיל הרך, בהיעדר משאב מדיד, ההוגנות מבוססת-הצורך היא עקרון החלוקה הדומיננטי בעיני הגננות.</w:t>
      </w:r>
    </w:p>
    <w:p>
      <w:pPr>
        <w:bidi w:val="1"/>
        <w:spacing w:line="360" w:lineRule="auto" w:before="0" w:after="120"/>
        <w:ind/>
        <w:jc w:val="both"/>
      </w:pPr>
      <w:r>
        <w:rPr>
          <w:rFonts w:ascii="David" w:hAnsi="David" w:cs="David"/>
          <w:b w:val="0"/>
          <w:color w:val="000000"/>
          <w:sz w:val="24"/>
          <w:szCs w:val="24"/>
          <w:rtl w:val="1"/>
        </w:rPr>
        <w:t>ממצא בולט שני הוא המודעות של הגננות לעוול הסמוי, כלומר לסכנה שהילד השקט והנוח ייעלם מן הרדאר לטובת הרועש והדורש. הגננות תיארו את חלוקת תשומת הלב לא כתהליך אינטואיטיבי אלא כפעולה מכוונת ושיטתית, מתוך הבנה שהיענות אינטואיטיבית לרועש היא כשלעצמה מקור לאי-צדק. ממד זה מחבר בין הצדק החלוקתי לצדק האינטראקציוני: לא רק כמה מקבל כל ילד, אלא האם הוא מרגיש נראה ומוכר (Horan et al., 2010; Jiang et al., 2018).</w:t>
      </w:r>
    </w:p>
    <w:p>
      <w:pPr>
        <w:bidi w:val="1"/>
        <w:spacing w:line="360" w:lineRule="auto" w:before="0" w:after="120"/>
        <w:ind/>
        <w:jc w:val="both"/>
      </w:pPr>
      <w:r>
        <w:rPr>
          <w:rFonts w:ascii="David" w:hAnsi="David" w:cs="David"/>
          <w:b w:val="0"/>
          <w:color w:val="000000"/>
          <w:sz w:val="24"/>
          <w:szCs w:val="24"/>
          <w:rtl w:val="1"/>
        </w:rPr>
        <w:t>ממצא שלישי הוא תפיסת הגן כמרחב מתקן, המבקש לצמצם פערים חברתיים-כלכליים ולא לשקף אותם. הגננות תיארו מאמץ מכוון ורגיש למניעת בושה, החל מכללים אחידים לימי הולדת ועד להספקת כל החומרים מן הגן. מאמץ זה בולט במיוחד אצל הגננת מן השכונה המוחלשת ואצל הגננת שגדלה בעצמה במיעוט אמצעים, ומבטא תפיסה של צדק חברתי כפעולה מתקנת מול ריבוד חברתי-כלכלי (דהאן, 2010; אדלר ובלס, 2009).</w:t>
      </w:r>
    </w:p>
    <w:p>
      <w:pPr>
        <w:bidi w:val="1"/>
        <w:spacing w:line="360" w:lineRule="auto" w:before="0" w:after="120"/>
        <w:ind/>
        <w:jc w:val="both"/>
      </w:pPr>
      <w:r>
        <w:rPr>
          <w:rFonts w:ascii="David" w:hAnsi="David" w:cs="David"/>
          <w:b w:val="0"/>
          <w:color w:val="000000"/>
          <w:sz w:val="24"/>
          <w:szCs w:val="24"/>
          <w:rtl w:val="1"/>
        </w:rPr>
        <w:t>לבסוף, כל הגננות תפסו את תפקידן ככולל, ואף כמתמקד, בקידום ערכים של שוויון וצדק חברתי, וראו בכך שליחות. הן הדגישו כי הילדים לומדים צדק מדוגמה אישית ולא מהטפה, ותיארו את עצמן כסוכנות הצדק הראשונות של הילד מול החברה. עם זאת, בהתאם לספרות (Solehuddin &amp; Adriany, 2017; Lang et al., 2024), ניכר כי אף שכל הגננות מחזיקות בערכי צדק מובהקים, מידת המודעות המפורשת שלהן, וכן הכלים והשפה שברשותן, מגוונות ומושפעות מן הוותק, מן הרקע האישי ומאוכלוסיית הגן.</w:t>
      </w:r>
    </w:p>
    <w:p>
      <w:pPr>
        <w:bidi w:val="1"/>
        <w:spacing w:line="360" w:lineRule="auto" w:before="0" w:after="120"/>
        <w:ind/>
        <w:jc w:val="both"/>
      </w:pPr>
      <w:r>
        <w:rPr>
          <w:rFonts w:ascii="David" w:hAnsi="David" w:cs="David"/>
          <w:b w:val="0"/>
          <w:color w:val="000000"/>
          <w:sz w:val="24"/>
          <w:szCs w:val="24"/>
          <w:rtl w:val="1"/>
        </w:rPr>
        <w:t>מן הממצאים עולה כי יש מקום להגביר את המודעות המקצועית של גננות לסוגיית הצדק החלוקתי בגן, ולהעניק להן שפה וכלים מפורשים לעסוק בה. מומלץ לשלב בהכשרת גננות ובהשתלמויות התייחסות מפורשת להבחנה בין שווה להוגן, לחלוקת המשאבים הרכים, ולמאבק בעוול הסמוי של הילד השקט. הטמעה כזו עשויה להפוך את העשייה האינטואיטיבית לעשייה מודעת ומכוונת, ולחזק את תפקידה של הגננת כסוכנת של שוויון וצדק כבר בשנות החיים הראשונות.</w:t>
      </w:r>
    </w:p>
    <w:p>
      <w:pPr>
        <w:bidi w:val="1"/>
        <w:spacing w:line="360" w:lineRule="auto" w:before="0" w:after="120"/>
        <w:ind/>
        <w:jc w:val="both"/>
      </w:pPr>
      <w:r>
        <w:rPr>
          <w:rFonts w:ascii="David" w:hAnsi="David" w:cs="David"/>
          <w:b w:val="0"/>
          <w:color w:val="000000"/>
          <w:sz w:val="24"/>
          <w:szCs w:val="24"/>
          <w:rtl w:val="1"/>
        </w:rPr>
        <w:t>למחקר עתידי מוצע להרחיב את המדגם ולכלול גננות מאזורים ומגזרים מגוונים, וכן גננים, כדי לבחון אם תפיסות הצדק משתנות בהתאם לרקע ולהקשר. כן מוצע לשלב בין ראיונות לבין תצפיות בשדה, כדי לבחון את מידת ההלימה בין התפיסות המוצהרות של הגננות לבין הפרקטיקה בפועל.</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7. רשימת המקורות</w:t>
      </w:r>
    </w:p>
    <w:p>
      <w:pPr>
        <w:bidi w:val="1"/>
        <w:spacing w:line="360" w:lineRule="auto" w:before="0" w:after="80"/>
        <w:jc w:val="both"/>
      </w:pPr>
      <w:r>
        <w:rPr>
          <w:rFonts w:ascii="David" w:hAnsi="David" w:cs="David"/>
          <w:b/>
          <w:color w:val="000000"/>
          <w:sz w:val="24"/>
          <w:szCs w:val="24"/>
          <w:rtl w:val="1"/>
        </w:rPr>
        <w:t>מקורות בעברית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jc w:val="both"/>
      </w:pPr>
      <w:r>
        <w:rPr>
          <w:rFonts w:ascii="David" w:hAnsi="David" w:cs="David"/>
          <w:color w:val="000000"/>
          <w:szCs w:val="24"/>
          <w:rtl w:val="1"/>
        </w:rPr>
        <w:t>אופנהיימר, א' (2006). תפקידו של המורה בכיתה הטרוגנית על פי גישתו החינוכית של קרל פרנקנשטיין. מפגש לעבודה חינוכית-סוציאלית, 24, 107–120.</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זלמנסון לוי, ג' ומרגלית, ת' (2010). חינוך לצדק חברתי וחינוך לשלום בשיעורי מתמטיקה. עיונים בחינוך, 3, 97–125.</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before="200" w:after="80"/>
        <w:jc w:val="both"/>
      </w:pPr>
      <w:r>
        <w:rPr>
          <w:rFonts w:ascii="David" w:hAnsi="David" w:cs="David"/>
          <w:b/>
          <w:color w:val="000000"/>
          <w:sz w:val="24"/>
          <w:szCs w:val="24"/>
          <w:rtl w:val="1"/>
        </w:rPr>
        <w:t>מקורות באנגלית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8.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color w:val="000000"/>
          <w:szCs w:val="24"/>
          <w:highlight w:val="green"/>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color w:val="000000"/>
          <w:szCs w:val="24"/>
          <w:highlight w:val="cyan"/>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color w:val="000000"/>
          <w:szCs w:val="24"/>
          <w:highlight w:val="yellow"/>
          <w:rtl w:val="1"/>
        </w:rPr>
        <w:t xml:space="preserve">       </w:t>
      </w:r>
      <w:r>
        <w:rPr>
          <w:rFonts w:ascii="David" w:hAnsi="David" w:cs="David"/>
          <w:color w:val="000000"/>
          <w:szCs w:val="24"/>
          <w:rtl w:val="1"/>
        </w:rPr>
        <w:t xml:space="preserve">  צהוב – חלוקת תשומת לב וקשב / הילד השקט</w:t>
      </w:r>
    </w:p>
    <w:p>
      <w:pPr>
        <w:bidi w:val="1"/>
        <w:spacing w:line="288" w:lineRule="auto" w:after="40"/>
        <w:jc w:val="both"/>
      </w:pPr>
      <w:r>
        <w:rPr>
          <w:rFonts w:ascii="David" w:hAnsi="David" w:cs="David"/>
          <w:color w:val="000000"/>
          <w:szCs w:val="24"/>
          <w:highlight w:val="magenta"/>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color w:val="000000"/>
          <w:szCs w:val="24"/>
          <w:highlight w:val="lightGray"/>
          <w:rtl w:val="1"/>
        </w:rPr>
        <w:t xml:space="preserve">       </w:t>
      </w:r>
      <w:r>
        <w:rPr>
          <w:rFonts w:ascii="David" w:hAnsi="David" w:cs="David"/>
          <w:color w:val="000000"/>
          <w:szCs w:val="24"/>
          <w:rtl w:val="1"/>
        </w:rPr>
        <w:t xml:space="preserve">  אפור – רקע חברתי-כלכלי ומניעת בושה</w:t>
      </w:r>
    </w:p>
    <w:p>
      <w:pPr>
        <w:bidi w:val="1"/>
        <w:spacing w:line="288" w:lineRule="auto" w:after="40"/>
        <w:jc w:val="both"/>
      </w:pPr>
      <w:r>
        <w:rPr>
          <w:rFonts w:ascii="David" w:hAnsi="David" w:cs="David"/>
          <w:color w:val="000000"/>
          <w:szCs w:val="24"/>
          <w:highlight w:val="red"/>
          <w:rtl w:val="1"/>
        </w:rPr>
        <w:t xml:space="preserve">       </w:t>
      </w:r>
      <w:r>
        <w:rPr>
          <w:rFonts w:ascii="David" w:hAnsi="David" w:cs="David"/>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szCs w:val="16"/>
                <w:highlight w:val="yellow"/>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szCs w:val="16"/>
                <w:highlight w:val="lightGray"/>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szCs w:val="16"/>
                <w:highlight w:val="lightGray"/>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szCs w:val="16"/>
                <w:highlight w:val="lightGray"/>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szCs w:val="16"/>
                <w:highlight w:val="lightGray"/>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לימד אותי ש</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הוא לפעמים </w:t>
            </w:r>
            <w:r>
              <w:rPr>
                <w:rFonts w:ascii="David" w:hAnsi="David" w:cs="David"/>
                <w:color w:val="000000"/>
                <w:sz w:val="16"/>
                <w:szCs w:val="16"/>
                <w:highlight w:val="lightGray"/>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אז ה</w:t>
            </w:r>
            <w:r>
              <w:rPr>
                <w:rFonts w:ascii="David" w:hAnsi="David" w:cs="David"/>
                <w:color w:val="000000"/>
                <w:sz w:val="16"/>
                <w:szCs w:val="16"/>
                <w:highlight w:val="red"/>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szCs w:val="16"/>
                <w:highlight w:val="red"/>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szCs w:val="16"/>
                <w:highlight w:val="green"/>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szCs w:val="16"/>
                <w:highlight w:val="green"/>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szCs w:val="16"/>
                <w:highlight w:val="magenta"/>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אלא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להכריז,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szCs w:val="16"/>
                <w:highlight w:val="yellow"/>
                <w:rtl w:val="1"/>
              </w:rPr>
              <w:t>שקוף</w:t>
            </w:r>
            <w:r>
              <w:rPr>
                <w:rFonts w:ascii="David" w:hAnsi="David" w:cs="David"/>
                <w:color w:val="000000"/>
                <w:sz w:val="16"/>
                <w:szCs w:val="16"/>
                <w:rtl w:val="1"/>
              </w:rPr>
              <w:t xml:space="preserve"> לי, נעם,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szCs w:val="16"/>
                <w:highlight w:val="red"/>
                <w:rtl w:val="1"/>
              </w:rPr>
              <w:t>דוגמה אישית</w:t>
            </w:r>
            <w:r>
              <w:rPr>
                <w:rFonts w:ascii="David" w:hAnsi="David" w:cs="David"/>
                <w:color w:val="000000"/>
                <w:sz w:val="16"/>
                <w:szCs w:val="16"/>
                <w:rtl w:val="1"/>
              </w:rPr>
              <w:t>. אם אני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צנוע,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szCs w:val="16"/>
                <w:highlight w:val="cyan"/>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szCs w:val="16"/>
                <w:highlight w:val="green"/>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szCs w:val="16"/>
                <w:highlight w:val="cyan"/>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אני עובדת </w:t>
            </w:r>
            <w:r>
              <w:rPr>
                <w:rFonts w:ascii="David" w:hAnsi="David" w:cs="David"/>
                <w:color w:val="000000"/>
                <w:sz w:val="16"/>
                <w:szCs w:val="16"/>
                <w:highlight w:val="cyan"/>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szCs w:val="16"/>
                <w:highlight w:val="cyan"/>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szCs w:val="16"/>
                <w:highlight w:val="yellow"/>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szCs w:val="16"/>
                <w:highlight w:val="yellow"/>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szCs w:val="16"/>
                <w:highlight w:val="yellow"/>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szCs w:val="16"/>
                <w:highlight w:val="yellow"/>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szCs w:val="16"/>
                <w:highlight w:val="yellow"/>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szCs w:val="16"/>
                <w:highlight w:val="green"/>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szCs w:val="16"/>
                <w:highlight w:val="yellow"/>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szCs w:val="16"/>
                <w:highlight w:val="red"/>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szCs w:val="16"/>
                <w:highlight w:val="magenta"/>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szCs w:val="16"/>
                <w:highlight w:val="cyan"/>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היא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המיוחדת תיצור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szCs w:val="16"/>
                <w:highlight w:val="green"/>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szCs w:val="16"/>
                <w:highlight w:val="green"/>
                <w:rtl w:val="1"/>
              </w:rPr>
              <w:t>הוגן</w:t>
            </w:r>
            <w:r>
              <w:rPr>
                <w:rFonts w:ascii="David" w:hAnsi="David" w:cs="David"/>
                <w:color w:val="000000"/>
                <w:sz w:val="16"/>
                <w:szCs w:val="16"/>
                <w:rtl w:val="1"/>
              </w:rPr>
              <w:t xml:space="preserve">.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לא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עיוור אלא </w:t>
            </w:r>
            <w:r>
              <w:rPr>
                <w:rFonts w:ascii="David" w:hAnsi="David" w:cs="David"/>
                <w:color w:val="000000"/>
                <w:sz w:val="16"/>
                <w:szCs w:val="16"/>
                <w:highlight w:val="green"/>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אצלי,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יבוא.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szCs w:val="16"/>
                <w:highlight w:val="green"/>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szCs w:val="16"/>
                <w:highlight w:val="magenta"/>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szCs w:val="16"/>
                <w:highlight w:val="magenta"/>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szCs w:val="16"/>
                <w:highlight w:val="yellow"/>
                <w:rtl w:val="1"/>
              </w:rPr>
              <w:t>שקט</w:t>
            </w:r>
            <w:r>
              <w:rPr>
                <w:rFonts w:ascii="David" w:hAnsi="David" w:cs="David"/>
                <w:color w:val="000000"/>
                <w:sz w:val="16"/>
                <w:szCs w:val="16"/>
                <w:rtl w:val="1"/>
              </w:rPr>
              <w:t>. אני שונאת את הווי</w:t>
            </w:r>
            <w:r>
              <w:rPr>
                <w:rFonts w:ascii="David" w:hAnsi="David" w:cs="David"/>
                <w:color w:val="000000"/>
                <w:sz w:val="16"/>
                <w:szCs w:val="16"/>
                <w:highlight w:val="magenta"/>
                <w:rtl w:val="1"/>
              </w:rPr>
              <w:t>תור</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szCs w:val="16"/>
                <w:highlight w:val="magenta"/>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szCs w:val="16"/>
                <w:highlight w:val="yellow"/>
                <w:rtl w:val="1"/>
              </w:rPr>
              <w:t>הקשבה</w:t>
            </w:r>
            <w:r>
              <w:rPr>
                <w:rFonts w:ascii="David" w:hAnsi="David" w:cs="David"/>
                <w:color w:val="000000"/>
                <w:sz w:val="16"/>
                <w:szCs w:val="16"/>
                <w:rtl w:val="1"/>
              </w:rPr>
              <w:t>, לא ב</w:t>
            </w:r>
            <w:r>
              <w:rPr>
                <w:rFonts w:ascii="David" w:hAnsi="David" w:cs="David"/>
                <w:color w:val="000000"/>
                <w:sz w:val="16"/>
                <w:szCs w:val="16"/>
                <w:highlight w:val="magenta"/>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szCs w:val="16"/>
                <w:highlight w:val="magenta"/>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szCs w:val="16"/>
                <w:highlight w:val="cyan"/>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ו</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בדיוק.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כולם קיבלו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szCs w:val="16"/>
                <w:highlight w:val="cyan"/>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szCs w:val="16"/>
                <w:highlight w:val="green"/>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ואני נותנת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שממחישה את זה יפה.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szCs w:val="16"/>
                <w:highlight w:val="cyan"/>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szCs w:val="16"/>
                <w:highlight w:val="cyan"/>
                <w:rtl w:val="1"/>
              </w:rPr>
              <w:t>שווה</w:t>
            </w:r>
            <w:r>
              <w:rPr>
                <w:rFonts w:ascii="David" w:hAnsi="David" w:cs="David"/>
                <w:color w:val="000000"/>
                <w:sz w:val="16"/>
                <w:szCs w:val="16"/>
                <w:rtl w:val="1"/>
              </w:rPr>
              <w:t>, נכון. אבל יש לי ילד גדול ו</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ולשנייה לזרוק אוכל.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אבל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szCs w:val="16"/>
                <w:highlight w:val="green"/>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אתן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szCs w:val="16"/>
                <w:highlight w:val="cyan"/>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היבש לטובת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szCs w:val="16"/>
                <w:highlight w:val="green"/>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szCs w:val="16"/>
                <w:highlight w:val="yellow"/>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szCs w:val="16"/>
                <w:highlight w:val="magenta"/>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szCs w:val="16"/>
                <w:highlight w:val="yellow"/>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שירה. ככה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szCs w:val="16"/>
                <w:highlight w:val="magenta"/>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יודע שגם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szCs w:val="16"/>
                <w:highlight w:val="yellow"/>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szCs w:val="16"/>
                <w:highlight w:val="magenta"/>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szCs w:val="16"/>
                <w:highlight w:val="yellow"/>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szCs w:val="16"/>
                <w:highlight w:val="lightGray"/>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szCs w:val="16"/>
                <w:highlight w:val="red"/>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szCs w:val="16"/>
                <w:highlight w:val="magenta"/>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כמעט תמיד קשורה ל</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szCs w:val="16"/>
                <w:highlight w:val="lightGray"/>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szCs w:val="16"/>
                <w:highlight w:val="yellow"/>
                <w:rtl w:val="1"/>
              </w:rPr>
              <w:t>שקט</w:t>
            </w:r>
            <w:r>
              <w:rPr>
                <w:rFonts w:ascii="David" w:hAnsi="David" w:cs="David"/>
                <w:color w:val="000000"/>
                <w:sz w:val="16"/>
                <w:szCs w:val="16"/>
                <w:rtl w:val="1"/>
              </w:rPr>
              <w:t>, בלי שאף אחד ידע.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szCs w:val="16"/>
                <w:highlight w:val="cyan"/>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w:t>
            </w:r>
            <w:r>
              <w:rPr>
                <w:rFonts w:ascii="David" w:hAnsi="David" w:cs="David"/>
                <w:color w:val="000000"/>
                <w:sz w:val="16"/>
                <w:szCs w:val="16"/>
                <w:highlight w:val="lightGray"/>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szCs w:val="16"/>
                <w:highlight w:val="yellow"/>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מאוד שונים, גם </w:t>
            </w:r>
            <w:r>
              <w:rPr>
                <w:rFonts w:ascii="David" w:hAnsi="David" w:cs="David"/>
                <w:color w:val="000000"/>
                <w:sz w:val="16"/>
                <w:szCs w:val="16"/>
                <w:highlight w:val="lightGray"/>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szCs w:val="16"/>
                <w:highlight w:val="lightGray"/>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szCs w:val="16"/>
                <w:highlight w:val="yellow"/>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szCs w:val="16"/>
                <w:highlight w:val="lightGray"/>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szCs w:val="16"/>
                <w:highlight w:val="lightGray"/>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szCs w:val="16"/>
                <w:highlight w:val="lightGray"/>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szCs w:val="16"/>
                <w:highlight w:val="yellow"/>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szCs w:val="16"/>
                <w:highlight w:val="yellow"/>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szCs w:val="16"/>
                <w:highlight w:val="yellow"/>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szCs w:val="16"/>
                <w:highlight w:val="green"/>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szCs w:val="16"/>
                <w:highlight w:val="lightGray"/>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szCs w:val="16"/>
                <w:highlight w:val="yellow"/>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הכי מסוכן הוא 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ביכולת, אלא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נותנת </w:t>
            </w:r>
            <w:r>
              <w:rPr>
                <w:rFonts w:ascii="David" w:hAnsi="David" w:cs="David"/>
                <w:color w:val="000000"/>
                <w:sz w:val="16"/>
                <w:szCs w:val="16"/>
                <w:highlight w:val="magenta"/>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szCs w:val="16"/>
                <w:highlight w:val="magenta"/>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גם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szCs w:val="16"/>
                <w:highlight w:val="yellow"/>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szCs w:val="16"/>
                <w:highlight w:val="yellow"/>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szCs w:val="16"/>
                <w:highlight w:val="cyan"/>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הם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szCs w:val="16"/>
                <w:highlight w:val="magenta"/>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szCs w:val="16"/>
                <w:highlight w:val="magenta"/>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יום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יום </w:t>
            </w:r>
            <w:r>
              <w:rPr>
                <w:rFonts w:ascii="David" w:hAnsi="David" w:cs="David"/>
                <w:color w:val="000000"/>
                <w:sz w:val="16"/>
                <w:szCs w:val="16"/>
                <w:highlight w:val="green"/>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szCs w:val="16"/>
                <w:highlight w:val="green"/>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בבוקר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szCs w:val="16"/>
                <w:highlight w:val="lightGray"/>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szCs w:val="16"/>
                <w:highlight w:val="magenta"/>
                <w:rtl w:val="1"/>
              </w:rPr>
              <w:t>תור</w:t>
            </w:r>
            <w:r>
              <w:rPr>
                <w:rFonts w:ascii="David" w:hAnsi="David" w:cs="David"/>
                <w:color w:val="000000"/>
                <w:sz w:val="16"/>
                <w:szCs w:val="16"/>
                <w:rtl w:val="1"/>
              </w:rPr>
              <w:t>. שתיים, שחלוקת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szCs w:val="16"/>
                <w:highlight w:val="cyan"/>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szCs w:val="16"/>
                <w:highlight w:val="magenta"/>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szCs w:val="16"/>
                <w:highlight w:val="magenta"/>
                <w:rtl w:val="1"/>
              </w:rPr>
              <w:t>תור</w:t>
            </w:r>
            <w:r>
              <w:rPr>
                <w:rFonts w:ascii="David" w:hAnsi="David" w:cs="David"/>
                <w:color w:val="000000"/>
                <w:sz w:val="16"/>
                <w:szCs w:val="16"/>
                <w:rtl w:val="1"/>
              </w:rPr>
              <w:t>, מי אף אחד לא שם לב אליו.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szCs w:val="16"/>
                <w:highlight w:val="green"/>
                <w:rtl w:val="1"/>
              </w:rPr>
              <w:t>הוגן</w:t>
            </w:r>
            <w:r>
              <w:rPr>
                <w:rFonts w:ascii="David" w:hAnsi="David" w:cs="David"/>
                <w:color w:val="000000"/>
                <w:sz w:val="16"/>
                <w:szCs w:val="16"/>
                <w:rtl w:val="1"/>
              </w:rPr>
              <w:t>, שאפשר לתקן. ילד שהעוול נבלע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szCs w:val="16"/>
                <w:highlight w:val="red"/>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szCs w:val="16"/>
                <w:highlight w:val="yellow"/>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szCs w:val="16"/>
                <w:highlight w:val="magenta"/>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szCs w:val="16"/>
                <w:highlight w:val="green"/>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קשורה ל</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szCs w:val="16"/>
                <w:highlight w:val="lightGray"/>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green"/>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szCs w:val="16"/>
                <w:highlight w:val="green"/>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szCs w:val="16"/>
                <w:highlight w:val="yellow"/>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szCs w:val="16"/>
                <w:highlight w:val="yellow"/>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szCs w:val="16"/>
                <w:highlight w:val="cyan"/>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שצעקו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אמיתי. הם מבינים </w:t>
            </w:r>
            <w:r>
              <w:rPr>
                <w:rFonts w:ascii="David" w:hAnsi="David" w:cs="David"/>
                <w:color w:val="000000"/>
                <w:sz w:val="16"/>
                <w:szCs w:val="16"/>
                <w:highlight w:val="magenta"/>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תמיד לחלק </w:t>
            </w:r>
            <w:r>
              <w:rPr>
                <w:rFonts w:ascii="David" w:hAnsi="David" w:cs="David"/>
                <w:color w:val="000000"/>
                <w:sz w:val="16"/>
                <w:szCs w:val="16"/>
                <w:highlight w:val="cyan"/>
                <w:rtl w:val="1"/>
              </w:rPr>
              <w:t>שווה</w:t>
            </w:r>
            <w:r>
              <w:rPr>
                <w:rFonts w:ascii="David" w:hAnsi="David" w:cs="David"/>
                <w:color w:val="000000"/>
                <w:sz w:val="16"/>
                <w:szCs w:val="16"/>
                <w:rtl w:val="1"/>
              </w:rPr>
              <w:t>. הם ק</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szCs w:val="16"/>
                <w:highlight w:val="green"/>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אגואיסטית, כאילו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cyan"/>
                <w:rtl w:val="1"/>
              </w:rPr>
              <w:t>שווה</w:t>
            </w:r>
            <w:r>
              <w:rPr>
                <w:rFonts w:ascii="David" w:hAnsi="David" w:cs="David"/>
                <w:color w:val="000000"/>
                <w:sz w:val="16"/>
                <w:szCs w:val="16"/>
                <w:rtl w:val="1"/>
              </w:rPr>
              <w:t>,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עוד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בעצם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הם רוצים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szCs w:val="16"/>
                <w:highlight w:val="cyan"/>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szCs w:val="16"/>
                <w:highlight w:val="magenta"/>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szCs w:val="16"/>
                <w:highlight w:val="green"/>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szCs w:val="16"/>
                <w:highlight w:val="green"/>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szCs w:val="16"/>
                <w:highlight w:val="magenta"/>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szCs w:val="16"/>
                <w:highlight w:val="red"/>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בהכרח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מול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szCs w:val="16"/>
                <w:highlight w:val="green"/>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szCs w:val="16"/>
                <w:highlight w:val="red"/>
                <w:rtl w:val="1"/>
              </w:rPr>
              <w:t>ערכים</w:t>
            </w:r>
            <w:r>
              <w:rPr>
                <w:rFonts w:ascii="David" w:hAnsi="David" w:cs="David"/>
                <w:color w:val="000000"/>
                <w:sz w:val="16"/>
                <w:szCs w:val="16"/>
                <w:rtl w:val="1"/>
              </w:rPr>
              <w:t xml:space="preserve">, אלא סביב </w:t>
            </w:r>
            <w:r>
              <w:rPr>
                <w:rFonts w:ascii="David" w:hAnsi="David" w:cs="David"/>
                <w:color w:val="000000"/>
                <w:sz w:val="16"/>
                <w:szCs w:val="16"/>
                <w:highlight w:val="lightGray"/>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szCs w:val="16"/>
                <w:highlight w:val="cyan"/>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szCs w:val="16"/>
                <w:highlight w:val="red"/>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szCs w:val="16"/>
                <w:highlight w:val="red"/>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szCs w:val="16"/>
                <w:highlight w:val="yellow"/>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צדק ו</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שאני 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szCs w:val="16"/>
                <w:highlight w:val="cyan"/>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יקבל חבר, שגם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יקבל אוכל בלי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szCs w:val="16"/>
                <w:highlight w:val="green"/>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szCs w:val="16"/>
                <w:highlight w:val="red"/>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szCs w:val="16"/>
                <w:highlight w:val="cyan"/>
                <w:rtl w:val="1"/>
              </w:rPr>
              <w:t>שוויון</w:t>
            </w:r>
            <w:r>
              <w:rPr>
                <w:rFonts w:ascii="David" w:hAnsi="David" w:cs="David"/>
                <w:color w:val="000000"/>
                <w:sz w:val="16"/>
                <w:szCs w:val="16"/>
                <w:rtl w:val="1"/>
              </w:rPr>
              <w:t>, אני עושה אותו בפועל,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szCs w:val="16"/>
                <w:highlight w:val="red"/>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