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80"/>
        <w:jc w:val="center"/>
      </w:pPr>
      <w:r>
        <w:rPr>
          <w:rFonts w:ascii="David" w:hAnsi="David" w:cs="David"/>
          <w:b/>
          <w:sz w:val="36"/>
          <w:szCs w:val="36"/>
          <w:rtl w:val="1"/>
        </w:rPr>
        <w:t>מסיפור לתיאטרון בובות</w:t>
      </w:r>
    </w:p>
    <w:p>
      <w:pPr>
        <w:bidi w:val="1"/>
        <w:spacing w:line="360" w:lineRule="auto" w:after="360"/>
        <w:jc w:val="center"/>
      </w:pPr>
      <w:r>
        <w:rPr>
          <w:rFonts w:ascii="David" w:hAnsi="David" w:cs="David"/>
          <w:b/>
          <w:sz w:val="28"/>
          <w:szCs w:val="28"/>
          <w:rtl w:val="1"/>
        </w:rPr>
        <w:t>עבודת סיכום</w:t>
      </w:r>
    </w:p>
    <w:p>
      <w:pPr>
        <w:bidi w:val="1"/>
        <w:spacing w:line="360" w:lineRule="auto" w:after="40"/>
        <w:jc w:val="center"/>
      </w:pPr>
      <w:r>
        <w:rPr>
          <w:rFonts w:ascii="David" w:hAnsi="David" w:cs="David"/>
          <w:b w:val="0"/>
          <w:sz w:val="26"/>
          <w:szCs w:val="26"/>
          <w:rtl w:val="1"/>
        </w:rPr>
        <w:t>פעילות בתיאטרון בובות בזיקה לסיפור "פרדריק":</w:t>
      </w:r>
    </w:p>
    <w:p>
      <w:pPr>
        <w:bidi w:val="1"/>
        <w:spacing w:line="360" w:lineRule="auto" w:after="480"/>
        <w:jc w:val="center"/>
      </w:pPr>
      <w:r>
        <w:rPr>
          <w:rFonts w:ascii="David" w:hAnsi="David" w:cs="David"/>
          <w:b w:val="0"/>
          <w:sz w:val="26"/>
          <w:szCs w:val="26"/>
          <w:rtl w:val="1"/>
        </w:rPr>
        <w:t>טיפוח קבלת השונות בגן חובה</w:t>
      </w:r>
    </w:p>
    <w:p>
      <w:pPr>
        <w:bidi w:val="1"/>
        <w:spacing w:line="360" w:lineRule="auto" w:after="40"/>
        <w:jc w:val="center"/>
      </w:pPr>
      <w:r>
        <w:rPr>
          <w:rFonts w:ascii="David" w:hAnsi="David" w:cs="David"/>
          <w:b w:val="0"/>
          <w:sz w:val="24"/>
          <w:szCs w:val="24"/>
          <w:rtl w:val="1"/>
        </w:rPr>
        <w:t>הקורס: מסיפור לתיאטרון בובות</w:t>
      </w:r>
    </w:p>
    <w:p>
      <w:pPr>
        <w:bidi w:val="1"/>
        <w:spacing w:line="360" w:lineRule="auto" w:after="40"/>
        <w:jc w:val="center"/>
      </w:pPr>
      <w:r>
        <w:rPr>
          <w:rFonts w:ascii="David" w:hAnsi="David" w:cs="David"/>
          <w:b w:val="0"/>
          <w:sz w:val="24"/>
          <w:szCs w:val="24"/>
          <w:rtl w:val="1"/>
        </w:rPr>
        <w:t>מרצה: ד"ר יעל ניאגו</w:t>
      </w:r>
    </w:p>
    <w:p>
      <w:pPr>
        <w:bidi w:val="1"/>
        <w:spacing w:line="360" w:lineRule="auto" w:after="40"/>
        <w:jc w:val="center"/>
      </w:pPr>
      <w:r>
        <w:rPr>
          <w:rFonts w:ascii="David" w:hAnsi="David" w:cs="David"/>
          <w:b w:val="0"/>
          <w:sz w:val="24"/>
          <w:szCs w:val="24"/>
          <w:rtl w:val="1"/>
        </w:rPr>
        <w:t>החוג לגיל הרך, המכללה האקדמית גורדון</w:t>
      </w:r>
    </w:p>
    <w:p>
      <w:pPr>
        <w:bidi w:val="1"/>
        <w:spacing w:line="360" w:lineRule="auto" w:after="40"/>
        <w:jc w:val="center"/>
      </w:pPr>
      <w:r>
        <w:rPr>
          <w:rFonts w:ascii="David" w:hAnsi="David" w:cs="David"/>
          <w:b w:val="0"/>
          <w:sz w:val="24"/>
          <w:szCs w:val="24"/>
          <w:rtl w:val="1"/>
        </w:rPr>
        <w:t>מגישות: [שמות חברות הצוות]</w:t>
      </w:r>
    </w:p>
    <w:p>
      <w:pPr>
        <w:bidi w:val="1"/>
        <w:spacing w:line="360" w:lineRule="auto" w:after="40"/>
        <w:jc w:val="center"/>
      </w:pPr>
      <w:r>
        <w:rPr>
          <w:rFonts w:ascii="David" w:hAnsi="David" w:cs="David"/>
          <w:b w:val="0"/>
          <w:sz w:val="24"/>
          <w:szCs w:val="24"/>
          <w:rtl w:val="1"/>
        </w:rPr>
        <w:t>שנת הלימודים תשפ"ו, 2026</w:t>
      </w:r>
    </w:p>
    <w:p>
      <w:r>
        <w:br w:type="page"/>
      </w:r>
    </w:p>
    <w:p>
      <w:pPr>
        <w:bidi w:val="1"/>
        <w:spacing w:line="360" w:lineRule="auto" w:before="200" w:after="80"/>
        <w:jc w:val="right"/>
      </w:pPr>
      <w:r>
        <w:rPr>
          <w:rFonts w:ascii="David" w:hAnsi="David" w:cs="David"/>
          <w:b/>
          <w:sz w:val="26"/>
          <w:szCs w:val="26"/>
          <w:rtl w:val="1"/>
        </w:rPr>
        <w:t>הצהרת סטודנט</w:t>
      </w:r>
    </w:p>
    <w:p>
      <w:pPr>
        <w:bidi w:val="1"/>
        <w:spacing w:line="360" w:lineRule="auto" w:after="120"/>
        <w:jc w:val="both"/>
      </w:pPr>
      <w:r>
        <w:rPr>
          <w:rFonts w:ascii="David" w:hAnsi="David" w:cs="David"/>
          <w:b w:val="0"/>
          <w:sz w:val="24"/>
          <w:szCs w:val="24"/>
          <w:rtl w:val="1"/>
        </w:rPr>
        <w:t>אנו מצהירות כי העבודה נכתבה על ידינו, וכי כל מקור שנעזרנו בו צוין כנדרש. חלוקת העבודה בין חברות הצוות: [לפרט מה היה חלקה של כל אחת].</w:t>
      </w:r>
    </w:p>
    <w:p>
      <w:pPr>
        <w:bidi w:val="1"/>
        <w:spacing w:line="360" w:lineRule="auto" w:after="120"/>
        <w:jc w:val="both"/>
      </w:pPr>
      <w:r>
        <w:rPr>
          <w:rFonts w:ascii="David" w:hAnsi="David" w:cs="David"/>
          <w:b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ידינו. [להתאים לפי המצב בפועל ולחתום].</w:t>
      </w:r>
    </w:p>
    <w:p>
      <w:pPr>
        <w:bidi w:val="1"/>
        <w:spacing w:line="360" w:lineRule="auto" w:after="120"/>
        <w:jc w:val="both"/>
      </w:pPr>
      <w:r>
        <w:rPr>
          <w:rFonts w:ascii="David" w:hAnsi="David" w:cs="David"/>
          <w:b w:val="0"/>
          <w:sz w:val="24"/>
          <w:szCs w:val="24"/>
          <w:rtl w:val="1"/>
        </w:rPr>
        <w:t>חתימות: ______________________</w:t>
      </w:r>
    </w:p>
    <w:p>
      <w:r>
        <w:br w:type="page"/>
      </w:r>
    </w:p>
    <w:p>
      <w:pPr>
        <w:bidi w:val="1"/>
        <w:spacing w:line="360" w:lineRule="auto" w:before="200" w:after="80"/>
        <w:jc w:val="right"/>
      </w:pPr>
      <w:r>
        <w:rPr>
          <w:rFonts w:ascii="David" w:hAnsi="David" w:cs="David"/>
          <w:b/>
          <w:sz w:val="26"/>
          <w:szCs w:val="26"/>
          <w:rtl w:val="1"/>
        </w:rPr>
        <w:t>מבוא</w:t>
      </w:r>
    </w:p>
    <w:p>
      <w:pPr>
        <w:bidi w:val="1"/>
        <w:spacing w:line="360" w:lineRule="auto" w:after="160"/>
        <w:jc w:val="both"/>
      </w:pPr>
      <w:r>
        <w:rPr>
          <w:rFonts w:ascii="David" w:hAnsi="David" w:cs="David"/>
          <w:b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בחרנו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שהכנו, והחלק העיוני מבסס את הבחירות שלנו על ספרות הקורס.</w:t>
      </w:r>
    </w:p>
    <w:p>
      <w:pPr>
        <w:bidi w:val="1"/>
        <w:spacing w:line="360" w:lineRule="auto" w:before="200" w:after="80"/>
        <w:jc w:val="right"/>
      </w:pPr>
      <w:r>
        <w:rPr>
          <w:rFonts w:ascii="David" w:hAnsi="David" w:cs="David"/>
          <w:b/>
          <w:sz w:val="26"/>
          <w:szCs w:val="26"/>
          <w:rtl w:val="1"/>
        </w:rPr>
        <w:t>סעיף 1 - תכנון הפעילות</w:t>
      </w:r>
    </w:p>
    <w:p>
      <w:pPr>
        <w:bidi w:val="1"/>
        <w:spacing w:line="360" w:lineRule="auto" w:before="200" w:after="80"/>
        <w:jc w:val="right"/>
      </w:pPr>
      <w:r>
        <w:rPr>
          <w:rFonts w:ascii="David" w:hAnsi="David" w:cs="David"/>
          <w:b/>
          <w:sz w:val="24"/>
          <w:szCs w:val="24"/>
          <w:rtl w:val="1"/>
        </w:rPr>
        <w:t>1א. אוכלוסיית היעד ונושא הפעילות</w:t>
      </w:r>
    </w:p>
    <w:p>
      <w:pPr>
        <w:bidi w:val="1"/>
        <w:spacing w:line="360" w:lineRule="auto" w:after="160"/>
        <w:jc w:val="both"/>
      </w:pPr>
      <w:r>
        <w:rPr>
          <w:rFonts w:ascii="David" w:hAnsi="David" w:cs="David"/>
          <w:b w:val="0"/>
          <w:sz w:val="24"/>
          <w:szCs w:val="24"/>
          <w:rtl w:val="1"/>
        </w:rPr>
        <w:t>הפעילות מיועדת לילדי גן חובה, בנים ובנות בני חמש עד שש. הנושא שבחרנו הוא שונות, כלומר לתת מקום לייחודיות של כל ילד ולהראות שיש ערך בלהיות שונה. הסיפור שעליו בנינו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before="200" w:after="80"/>
        <w:jc w:val="right"/>
      </w:pPr>
      <w:r>
        <w:rPr>
          <w:rFonts w:ascii="David" w:hAnsi="David" w:cs="David"/>
          <w:b/>
          <w:sz w:val="24"/>
          <w:szCs w:val="24"/>
          <w:rtl w:val="1"/>
        </w:rPr>
        <w:t>1ב. מטרות, מהלך הפעילות ושיקולי דעת</w:t>
      </w:r>
    </w:p>
    <w:p>
      <w:pPr>
        <w:bidi w:val="1"/>
        <w:spacing w:line="360" w:lineRule="auto" w:after="120"/>
        <w:jc w:val="both"/>
      </w:pPr>
      <w:r>
        <w:rPr>
          <w:rFonts w:ascii="David" w:hAnsi="David" w:cs="David"/>
          <w:b w:val="0"/>
          <w:sz w:val="24"/>
          <w:szCs w:val="24"/>
          <w:rtl w:val="1"/>
        </w:rPr>
        <w:t>הצבנו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w:t>
      </w:r>
    </w:p>
    <w:p>
      <w:pPr>
        <w:bidi w:val="1"/>
        <w:spacing w:line="360" w:lineRule="auto" w:after="120"/>
        <w:jc w:val="both"/>
      </w:pPr>
      <w:r>
        <w:rPr>
          <w:rFonts w:ascii="David" w:hAnsi="David" w:cs="David"/>
          <w:b w:val="0"/>
          <w:sz w:val="24"/>
          <w:szCs w:val="24"/>
          <w:rtl w:val="1"/>
        </w:rPr>
        <w:t>מהלך הפעילות בנוי בשלושה שלבים. בפתיחה הבובה האדומה מציצה, מציגה את עצמה כדמות מיוחדת ושונה מכולם, ושואלת את הילדים אם גם הם מכירים מישהו שהוא קצת אחר. זה מעורר עניין ומכניס לנושא בלי הרצאה. בגוף הפעילות אנו ממחיזות את "פרדריק" עם הבובה, ומשלבות את הילדים, אחד אוסף "צבע", אחד "מילה", כדי שירגישו חלק מהסיפור. בסיכום מתקיים שיח רפלקטיבי במעגל: מתי הרגשתם שונים? במה כל אחד מכם מיוחד? מה פרדריק לימד אותנו. השיח מחזיר את המסר מהסיפור אל חיי הילדים.</w:t>
      </w:r>
    </w:p>
    <w:p>
      <w:pPr>
        <w:bidi w:val="1"/>
        <w:spacing w:line="360" w:lineRule="auto" w:after="160"/>
        <w:jc w:val="both"/>
      </w:pPr>
      <w:r>
        <w:rPr>
          <w:rFonts w:ascii="David" w:hAnsi="David" w:cs="David"/>
          <w:b w:val="0"/>
          <w:sz w:val="24"/>
          <w:szCs w:val="24"/>
          <w:rtl w:val="1"/>
        </w:rPr>
        <w:t>שיקולי הדעת מאחורי התכנון: בחרנו בבובת פה כי היא מאפשרת דיאלוג חי עם הילדים, והפה שנפתח ונסגר מושך את תשומת הלב ומזמין תגובה. בחרנו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sz w:val="24"/>
          <w:szCs w:val="24"/>
          <w:rtl w:val="1"/>
        </w:rPr>
        <w:t>1ג. הכנת העזרים ותיאור הבובה</w:t>
      </w:r>
    </w:p>
    <w:p>
      <w:pPr>
        <w:bidi w:val="1"/>
        <w:spacing w:line="360" w:lineRule="auto" w:after="120"/>
        <w:jc w:val="both"/>
      </w:pPr>
      <w:r>
        <w:rPr>
          <w:rFonts w:ascii="David" w:hAnsi="David" w:cs="David"/>
          <w:b w:val="0"/>
          <w:sz w:val="24"/>
          <w:szCs w:val="24"/>
          <w:rtl w:val="1"/>
        </w:rPr>
        <w:t>הכנו בעצמנו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עבדנו על שתיהן במקביל, וכל שלב, מהגזירה ועד הדבקת העיניים, נעשה בידיים שלנו.</w:t>
      </w:r>
    </w:p>
    <w:p>
      <w:pPr>
        <w:bidi w:val="1"/>
        <w:spacing w:line="360" w:lineRule="auto" w:after="120"/>
        <w:jc w:val="both"/>
      </w:pPr>
      <w:r>
        <w:rPr>
          <w:rFonts w:ascii="David" w:hAnsi="David" w:cs="David"/>
          <w:b w:val="0"/>
          <w:sz w:val="24"/>
          <w:szCs w:val="24"/>
          <w:rtl w:val="1"/>
        </w:rPr>
        <w:t>לפעילות על שונות בחרנו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שאנחנו רוצות להעביר.</w:t>
      </w:r>
    </w:p>
    <w:p>
      <w:pPr>
        <w:spacing w:before="80" w:after="40"/>
        <w:jc w:val="center"/>
      </w:pPr>
      <w:r>
        <w:drawing>
          <wp:inline xmlns:a="http://schemas.openxmlformats.org/drawingml/2006/main" xmlns:pic="http://schemas.openxmlformats.org/drawingml/2006/picture">
            <wp:extent cx="2468880" cy="5364204"/>
            <wp:docPr id="1" name="Picture 1"/>
            <wp:cNvGraphicFramePr>
              <a:graphicFrameLocks noChangeAspect="1"/>
            </wp:cNvGraphicFramePr>
            <a:graphic>
              <a:graphicData uri="http://schemas.openxmlformats.org/drawingml/2006/picture">
                <pic:pic>
                  <pic:nvPicPr>
                    <pic:cNvPr id="0" name="4b52ad99-IMG_7501.png"/>
                    <pic:cNvPicPr/>
                  </pic:nvPicPr>
                  <pic:blipFill>
                    <a:blip r:embed="rId9"/>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אצלנו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2" name="Picture 2"/>
            <wp:cNvGraphicFramePr>
              <a:graphicFrameLocks noChangeAspect="1"/>
            </wp:cNvGraphicFramePr>
            <a:graphic>
              <a:graphicData uri="http://schemas.openxmlformats.org/drawingml/2006/picture">
                <pic:pic>
                  <pic:nvPicPr>
                    <pic:cNvPr id="0" name="a10bcfc8-IMG_7502.jpeg"/>
                    <pic:cNvPicPr/>
                  </pic:nvPicPr>
                  <pic:blipFill>
                    <a:blip r:embed="rId10"/>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sz w:val="22"/>
          <w:szCs w:val="22"/>
          <w:rtl w:val="1"/>
        </w:rPr>
        <w:t>הבובה הוורודה - חלופה / דמות נוספת</w:t>
      </w:r>
    </w:p>
    <w:p>
      <w:pPr>
        <w:bidi w:val="1"/>
        <w:spacing w:line="360" w:lineRule="auto" w:after="160"/>
        <w:jc w:val="both"/>
      </w:pPr>
      <w:r>
        <w:rPr>
          <w:rFonts w:ascii="David" w:hAnsi="David" w:cs="David"/>
          <w:b w:val="0"/>
          <w:sz w:val="24"/>
          <w:szCs w:val="24"/>
          <w:rtl w:val="1"/>
        </w:rPr>
        <w:t>תהליך ההכנה בידיים לא היה רק שלב טכני. הוא נתן לנו היכרות עם הבובות עוד לפני שהופיעו מול הילדים, ואיפשר לנו להפעיל אותן אחר כך בביטחון ובחיות. את התפאורה נעצב בפשטות, פינת "מחסן" של העכברים ורקע שמזכיר את החורף, כדי לתמוך בסיפור בלי להסיח את תשומת הלב מהבובה עצמה.</w:t>
      </w:r>
    </w:p>
    <w:p>
      <w:pPr>
        <w:bidi w:val="1"/>
        <w:spacing w:line="360" w:lineRule="auto" w:before="200" w:after="80"/>
        <w:jc w:val="right"/>
      </w:pPr>
      <w:r>
        <w:rPr>
          <w:rFonts w:ascii="David" w:hAnsi="David" w:cs="David"/>
          <w:b/>
          <w:sz w:val="26"/>
          <w:szCs w:val="26"/>
          <w:rtl w:val="1"/>
        </w:rPr>
        <w:t>סעיף 2 - חשיבותו ותרומתו של תיאטרון הבובות</w:t>
      </w:r>
    </w:p>
    <w:p>
      <w:pPr>
        <w:bidi w:val="1"/>
        <w:spacing w:line="360" w:lineRule="auto" w:before="200" w:after="80"/>
        <w:jc w:val="right"/>
      </w:pPr>
      <w:r>
        <w:rPr>
          <w:rFonts w:ascii="David" w:hAnsi="David" w:cs="David"/>
          <w:b/>
          <w:sz w:val="24"/>
          <w:szCs w:val="24"/>
          <w:rtl w:val="1"/>
        </w:rPr>
        <w:t>2א. חשיבותו של תיאטרון הבובות</w:t>
      </w:r>
    </w:p>
    <w:p>
      <w:pPr>
        <w:bidi w:val="1"/>
        <w:spacing w:line="360" w:lineRule="auto" w:after="120"/>
        <w:jc w:val="both"/>
      </w:pPr>
      <w:r>
        <w:rPr>
          <w:rFonts w:ascii="David" w:hAnsi="David" w:cs="David"/>
          <w:b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שלנו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שלנו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שלנו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sz w:val="24"/>
          <w:szCs w:val="24"/>
          <w:rtl w:val="1"/>
        </w:rPr>
        <w:t>סוג הבובה שנבחר אינו מקרי. בחרנו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שלנו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sz w:val="24"/>
          <w:szCs w:val="24"/>
          <w:rtl w:val="1"/>
        </w:rPr>
        <w:t>גם עצם תהליך הכנת הבובה נושא משמעות חינוכית. תיאטרון הבובות מחבר בין הראש, הידיים והלב, והעשייה הגופנית של יצירת הבובה היא חלק בלתי נפרד מהלמידה ולא רק הכנה טכנית לקראתה (Smith, 2019). בעבודה שלנו ההכנה הידנית של הבובה האדומה נתנה לנו חיבור אישי אליה, וזה מה שאיפשר לנו להפעיל אותה מול הילדים בביטחון ובחיות.</w:t>
      </w:r>
    </w:p>
    <w:p>
      <w:pPr>
        <w:bidi w:val="1"/>
        <w:spacing w:line="360" w:lineRule="auto" w:after="120"/>
        <w:jc w:val="both"/>
      </w:pPr>
      <w:r>
        <w:rPr>
          <w:rFonts w:ascii="David" w:hAnsi="David" w:cs="David"/>
          <w:b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מתארת תוכנית "מניעתית שמסייעת לפתח משאבי התמודדות" לגיל הרך, שפועלת לפיתוח חוסן ומשאבי התמודדות באמצעות בובות תיאטרון וסיפורים (קופר-קיסרי, 2021, עמ' 14). בפעילות שלנו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שלנו הבובה האדומה היא המתווכת: דרכה אנו שואלות את הילדים על שונות, ודרכה הם עונים, לפעמים בשם עצמם ולפעמים בשם הבובה.</w:t>
      </w:r>
    </w:p>
    <w:p>
      <w:pPr>
        <w:bidi w:val="1"/>
        <w:spacing w:line="360" w:lineRule="auto" w:after="120"/>
        <w:jc w:val="both"/>
      </w:pPr>
      <w:r>
        <w:rPr>
          <w:rFonts w:ascii="David" w:hAnsi="David" w:cs="David"/>
          <w:b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שלנו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שלנו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שלנו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sz w:val="24"/>
          <w:szCs w:val="24"/>
          <w:rtl w:val="1"/>
        </w:rPr>
        <w:t>2ב. תרומתו של תיאטרון הבובות ללומד ולמחנך</w:t>
      </w:r>
    </w:p>
    <w:p>
      <w:pPr>
        <w:bidi w:val="1"/>
        <w:spacing w:line="360" w:lineRule="auto" w:after="120"/>
        <w:jc w:val="both"/>
      </w:pPr>
      <w:r>
        <w:rPr>
          <w:rFonts w:ascii="David" w:hAnsi="David" w:cs="David"/>
          <w:b w:val="0"/>
          <w:sz w:val="24"/>
          <w:szCs w:val="24"/>
          <w:rtl w:val="1"/>
        </w:rPr>
        <w:t>מבחינה קוגניטיבית, תיאטרון הבובות מפתח שפה, אוצר מילים והבנת רצף של סיפור. מחקרים מצאו שאפילו שימוש בבובות אצבע בגיל הרך תומך בהתפתחות השפה המוקדמת של הילד (Domek et al., 2023). בפעילות שלנו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sz w:val="24"/>
          <w:szCs w:val="24"/>
          <w:rtl w:val="1"/>
        </w:rPr>
        <w:t>מבחינה רגשית, הבובה מאפשרת לילד לבטא רגשות דרך דמות, ולעבד תכנים שקשה לדבר עליהם ישירות, וכך היא מסייעת בפיתוח חוסן ומשאבי התמודדות (קופר-קיסרי, 2021). בפעילות שלנו זה מאפשר לילד לגעת בתחושת השונות מבלי להיחשף, כי הרגש נאמר דרך הבובה.</w:t>
      </w:r>
    </w:p>
    <w:p>
      <w:pPr>
        <w:bidi w:val="1"/>
        <w:spacing w:line="360" w:lineRule="auto" w:after="120"/>
        <w:jc w:val="both"/>
      </w:pPr>
      <w:r>
        <w:rPr>
          <w:rFonts w:ascii="David" w:hAnsi="David" w:cs="David"/>
          <w:b w:val="0"/>
          <w:sz w:val="24"/>
          <w:szCs w:val="24"/>
          <w:rtl w:val="1"/>
        </w:rPr>
        <w:t>מבחינה חברתית, הפעילות מתקיימת בקבוצה, ודורשת הקשבה, תור ושיתוף פעולה. המפגש המשותף סביב הבובה מחזק את תחושת השייכות ואת קבלת האחר (ניאגו, 2023). בפעילות שלנו המסר על קבלת השונה מתורגם מיד לחוויה חברתית ממשית בתוך הקבוצה.</w:t>
      </w:r>
    </w:p>
    <w:p>
      <w:pPr>
        <w:bidi w:val="1"/>
        <w:spacing w:line="360" w:lineRule="auto" w:after="120"/>
        <w:jc w:val="both"/>
      </w:pPr>
      <w:r>
        <w:rPr>
          <w:rFonts w:ascii="David" w:hAnsi="David" w:cs="David"/>
          <w:b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שלנו הילדים מפעילים אביזרים קטנים ומשתתפים בתנועה, וכך גם ההיבט הגופני מקבל מקום.</w:t>
      </w:r>
    </w:p>
    <w:p>
      <w:pPr>
        <w:bidi w:val="1"/>
        <w:spacing w:line="360" w:lineRule="auto" w:after="160"/>
        <w:jc w:val="both"/>
      </w:pPr>
      <w:r>
        <w:rPr>
          <w:rFonts w:ascii="David" w:hAnsi="David" w:cs="David"/>
          <w:b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בפעילות שלנו הבובה האדומה היא הכלי שדרכו אנו מנהלות את השיח על שונות, ומחזיקות את תשומת הלב של הקבוצה לאורך כל המהלך.</w:t>
      </w:r>
    </w:p>
    <w:p>
      <w:pPr>
        <w:bidi w:val="1"/>
        <w:spacing w:line="360" w:lineRule="auto" w:before="200" w:after="80"/>
        <w:jc w:val="right"/>
      </w:pPr>
      <w:r>
        <w:rPr>
          <w:rFonts w:ascii="David" w:hAnsi="David" w:cs="David"/>
          <w:b/>
          <w:sz w:val="26"/>
          <w:szCs w:val="26"/>
          <w:rtl w:val="1"/>
        </w:rPr>
        <w:t>סיכום</w:t>
      </w:r>
    </w:p>
    <w:p>
      <w:pPr>
        <w:bidi w:val="1"/>
        <w:spacing w:line="360" w:lineRule="auto" w:after="160"/>
        <w:jc w:val="both"/>
      </w:pPr>
      <w:r>
        <w:rPr>
          <w:rFonts w:ascii="David" w:hAnsi="David" w:cs="David"/>
          <w:b w:val="0"/>
          <w:sz w:val="24"/>
          <w:szCs w:val="24"/>
          <w:rtl w:val="1"/>
        </w:rPr>
        <w:t>העבודה חיברה בין החלק המעשי לחלק העיוני סביב רעיון אחד: שתיאטרון הבובות הוא לא קישוט לשיעור אלא דרך למידה בפני עצמה. בחרנו בסיפור "פרדריק" ובבובה האדומה, שכל כולה "שונה", כדי לגעת בנושא רגיש כמו קבלת האחר בלי להטיף לילדים ובלי לחשוף אף אחד מהם. הספרות שקראנו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שלמדנו הכי הרבה הוא שהבובה עובדת דווקא כשהיא לא מושלמת. הבובה האדומה, עם העיניים הלא תואמות והשיער הפרוע, לימדה אותנו את זה עוד לפני שהיא פגשה ילד אחד.</w:t>
      </w:r>
    </w:p>
    <w:p>
      <w:pPr>
        <w:bidi w:val="1"/>
        <w:spacing w:line="360" w:lineRule="auto" w:before="200" w:after="80"/>
        <w:jc w:val="right"/>
      </w:pPr>
      <w:r>
        <w:rPr>
          <w:rFonts w:ascii="David" w:hAnsi="David" w:cs="David"/>
          <w:b/>
          <w:sz w:val="26"/>
          <w:szCs w:val="26"/>
          <w:rtl w:val="1"/>
        </w:rPr>
        <w:t>סעיף 3 - רשימה ביבליוגרפית</w:t>
      </w:r>
    </w:p>
    <w:p>
      <w:pPr>
        <w:bidi w:val="1"/>
        <w:spacing w:line="360" w:lineRule="auto" w:after="120"/>
        <w:ind w:left="432" w:hanging="432"/>
        <w:jc w:val="right"/>
      </w:pPr>
      <w:r>
        <w:rPr>
          <w:rFonts w:ascii="David" w:hAnsi="David" w:cs="David"/>
          <w:b w:val="0"/>
          <w:sz w:val="24"/>
          <w:szCs w:val="24"/>
          <w:rtl w:val="1"/>
        </w:rPr>
        <w:t>יחזקאלי, י' (2009). תיאטרון בובות. מודן.</w:t>
      </w:r>
    </w:p>
    <w:p>
      <w:pPr>
        <w:bidi w:val="1"/>
        <w:spacing w:line="360" w:lineRule="auto" w:after="120"/>
        <w:ind w:left="432" w:hanging="432"/>
        <w:jc w:val="right"/>
      </w:pPr>
      <w:r>
        <w:rPr>
          <w:rFonts w:ascii="David" w:hAnsi="David" w:cs="David"/>
          <w:b w:val="0"/>
          <w:sz w:val="24"/>
          <w:szCs w:val="24"/>
          <w:rtl w:val="1"/>
        </w:rPr>
        <w:t>ניאגו, י' (2023). תיאטרון הבובות כמטפח את הרגישות האסתטית אצל ילדים צעירים. בתוך ש' שינמן, ס' מור ונ' שם-טוב (עורכים), תיאטרון לקהל צעיר בישראל: מחקר, יצירה ושיח (עמ' 199-220). מכון מופ"ת.</w:t>
      </w:r>
    </w:p>
    <w:p>
      <w:pPr>
        <w:bidi w:val="1"/>
        <w:spacing w:line="360" w:lineRule="auto" w:after="120"/>
        <w:ind w:left="432" w:hanging="432"/>
        <w:jc w:val="right"/>
      </w:pPr>
      <w:r>
        <w:rPr>
          <w:rFonts w:ascii="David" w:hAnsi="David" w:cs="David"/>
          <w:b w:val="0"/>
          <w:sz w:val="24"/>
          <w:szCs w:val="24"/>
          <w:rtl w:val="1"/>
        </w:rPr>
        <w:t>קופר-קיסרי, ס' (2021). כיצד מייצרים חוסן רגשי? מה עוזר כשקשה לי - תוכנית לפיתוח משאבי התמודדות לגיל הרך באמצעות בובות תיאטרון. בין המילים, 19, 12-36.</w:t>
      </w:r>
    </w:p>
    <w:p>
      <w:pPr>
        <w:bidi w:val="1"/>
        <w:spacing w:line="360" w:lineRule="auto" w:after="120"/>
        <w:ind w:left="432" w:hanging="432"/>
        <w:jc w:val="right"/>
      </w:pPr>
      <w:r>
        <w:rPr>
          <w:rFonts w:ascii="David" w:hAnsi="David" w:cs="David"/>
          <w:b w:val="0"/>
          <w:sz w:val="24"/>
          <w:szCs w:val="24"/>
          <w:rtl w:val="1"/>
        </w:rPr>
        <w:t>Domek, G. J., Szafran, L. H., Allison, M., Kempe, A., Jimenez-Zambrano, A., Silveira, L., &amp; Camp, B. (2023). Finger puppets to support early language development: Effects of a primary care-based intervention in infancy. Clinical Pediatrics, 62(12), 1497-1507.</w:t>
      </w:r>
    </w:p>
    <w:p>
      <w:pPr>
        <w:bidi w:val="1"/>
        <w:spacing w:line="360" w:lineRule="auto" w:after="120"/>
        <w:ind w:left="432" w:hanging="432"/>
        <w:jc w:val="right"/>
      </w:pPr>
      <w:r>
        <w:rPr>
          <w:rFonts w:ascii="David" w:hAnsi="David" w:cs="David"/>
          <w:b w:val="0"/>
          <w:sz w:val="24"/>
          <w:szCs w:val="24"/>
          <w:rtl w:val="1"/>
        </w:rPr>
        <w:t>Smith, J. (2019). Puppetry in theatre and arts education: Head, hands and heart. Methuen Drama.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