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p>
    <w:p>
      <w:pPr>
        <w:bidi w:val="1"/>
        <w:spacing w:line="360" w:lineRule="auto" w:after="120"/>
        <w:jc w:val="both"/>
      </w:pPr>
      <w:r>
        <w:rPr>
          <w:rFonts w:ascii="David" w:hAnsi="David" w:cs="David"/>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p>
    <w:p>
      <w:pPr>
        <w:bidi w:val="1"/>
        <w:pStyle w:val="Heading2"/>
        <w:bidi w:val="1"/>
        <w:spacing w:line="360" w:lineRule="auto" w:after="120"/>
        <w:jc w:val="right"/>
      </w:pPr>
      <w:r>
        <w:rPr>
          <w:rFonts w:ascii="David" w:hAnsi="David" w:cs="David"/>
          <w:b/>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(מכללת סמינר הקיבוצים, 2018). הקוד תופס את הגן כמקום של יחסים, שראוי שיושתתו על ערכים ועל עקרונות ליבה מוסכמים, בין הילדים, צוות הגן, ההורים ומחזיקי העניין. בכך מקבל העיסוק בהוגנות עיגון נורמטיבי: התנהלות צודקת אינה עניין של העדפה אישית של גננת זו או אחרת, אלא חובה מקצועית-אתית. ברוח דומה פותחה במערכת החינוך תוכנית ניסויית של התנהלות הומנית בגן הילדים, המבקשת להטמיע ערכים הומניסטיים בשגרת הגן (משרד החינוך, 2010).</w:t>
      </w:r>
    </w:p>
    <w:p>
      <w:pPr>
        <w:bidi w:val="1"/>
        <w:spacing w:line="360" w:lineRule="auto" w:after="120"/>
        <w:jc w:val="both"/>
      </w:pPr>
      <w:r>
        <w:rPr>
          <w:rFonts w:ascii="David" w:hAnsi="David" w:cs="David"/>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p>
    <w:p>
      <w:pPr>
        <w:bidi w:val="1"/>
        <w:pStyle w:val="Heading2"/>
        <w:bidi w:val="1"/>
        <w:spacing w:line="360" w:lineRule="auto" w:before="280" w:after="160"/>
        <w:jc w:val="both"/>
      </w:pPr>
      <w:r>
        <w:rPr>
          <w:rFonts w:ascii="David" w:hAnsi="David" w:cs="David"/>
          <w:b/>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after="120"/>
        <w:jc w:val="both"/>
      </w:pPr>
      <w:r>
        <w:rPr>
          <w:rFonts w:ascii="David" w:hAnsi="David" w:cs="David"/>
          <w:b w:val="0"/>
          <w:i w:val="0"/>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תפיסת המונח "צדק בגן"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חלוקת תשומת הלב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שווה מול הוגן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משאבים ומרחב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חברתי-כלכלי</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ביחסי גננת-הורים</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הגננת כסוכנת צדק</w:t>
            </w:r>
          </w:p>
        </w:tc>
      </w:tr>
      <w:tr>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ראיית הילד הבודד</w:t>
            </w:r>
            <w:r>
              <w:rPr>
                <w:rFonts w:ascii="David" w:hAnsi="David" w:cs="David"/>
                <w:color w:val="000000"/>
                <w:sz w:val="16"/>
                <w:szCs w:val="16"/>
                <w:rtl w:val="1"/>
              </w:rPr>
              <w:br/>
            </w:r>
            <w:r>
              <w:rPr>
                <w:rFonts w:ascii="David" w:hAnsi="David" w:cs="David"/>
                <w:b w:val="0"/>
                <w:color w:val="000000"/>
                <w:sz w:val="16"/>
                <w:szCs w:val="16"/>
                <w:rtl w:val="1"/>
              </w:rPr>
              <w:t>שוויון הזדמנויות</w:t>
            </w:r>
            <w:r>
              <w:rPr>
                <w:rFonts w:ascii="David" w:hAnsi="David" w:cs="David"/>
                <w:color w:val="000000"/>
                <w:sz w:val="16"/>
                <w:szCs w:val="16"/>
                <w:rtl w:val="1"/>
              </w:rPr>
              <w:br/>
            </w:r>
            <w:r>
              <w:rPr>
                <w:rFonts w:ascii="David" w:hAnsi="David" w:cs="David"/>
                <w:b w:val="0"/>
                <w:color w:val="000000"/>
                <w:sz w:val="16"/>
                <w:szCs w:val="16"/>
                <w:rtl w:val="1"/>
              </w:rPr>
              <w:t>הקשבה וניהול מתחים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עיקרון הצורך</w:t>
            </w:r>
            <w:r>
              <w:rPr>
                <w:rFonts w:ascii="David" w:hAnsi="David" w:cs="David"/>
                <w:color w:val="000000"/>
                <w:sz w:val="16"/>
                <w:szCs w:val="16"/>
                <w:rtl w:val="1"/>
              </w:rPr>
              <w:br/>
            </w:r>
            <w:r>
              <w:rPr>
                <w:rFonts w:ascii="David" w:hAnsi="David" w:cs="David"/>
                <w:b w:val="0"/>
                <w:color w:val="000000"/>
                <w:sz w:val="16"/>
                <w:szCs w:val="16"/>
                <w:rtl w:val="1"/>
              </w:rPr>
              <w:t>הילד השקט</w:t>
            </w:r>
            <w:r>
              <w:rPr>
                <w:rFonts w:ascii="David" w:hAnsi="David" w:cs="David"/>
                <w:color w:val="000000"/>
                <w:sz w:val="16"/>
                <w:szCs w:val="16"/>
                <w:rtl w:val="1"/>
              </w:rPr>
              <w:br/>
            </w:r>
            <w:r>
              <w:rPr>
                <w:rFonts w:ascii="David" w:hAnsi="David" w:cs="David"/>
                <w:b w:val="0"/>
                <w:color w:val="000000"/>
                <w:sz w:val="16"/>
                <w:szCs w:val="16"/>
                <w:rtl w:val="1"/>
              </w:rPr>
              <w:t>שיטתיות ומודעות</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ההבחנה העקרונית</w:t>
            </w:r>
            <w:r>
              <w:rPr>
                <w:rFonts w:ascii="David" w:hAnsi="David" w:cs="David"/>
                <w:color w:val="000000"/>
                <w:sz w:val="16"/>
                <w:szCs w:val="16"/>
                <w:rtl w:val="1"/>
              </w:rPr>
              <w:br/>
            </w:r>
            <w:r>
              <w:rPr>
                <w:rFonts w:ascii="David" w:hAnsi="David" w:cs="David"/>
                <w:b w:val="0"/>
                <w:color w:val="000000"/>
                <w:sz w:val="16"/>
                <w:szCs w:val="16"/>
                <w:rtl w:val="1"/>
              </w:rPr>
              <w:t>הנחלה לילדים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שקיפות ותור</w:t>
            </w:r>
            <w:r>
              <w:rPr>
                <w:rFonts w:ascii="David" w:hAnsi="David" w:cs="David"/>
                <w:color w:val="000000"/>
                <w:sz w:val="16"/>
                <w:szCs w:val="16"/>
                <w:rtl w:val="1"/>
              </w:rPr>
              <w:br/>
            </w:r>
            <w:r>
              <w:rPr>
                <w:rFonts w:ascii="David" w:hAnsi="David" w:cs="David"/>
                <w:b w:val="0"/>
                <w:color w:val="000000"/>
                <w:sz w:val="16"/>
                <w:szCs w:val="16"/>
                <w:rtl w:val="1"/>
              </w:rPr>
              <w:t>הכלל הגלוי</w:t>
            </w:r>
            <w:r>
              <w:rPr>
                <w:rFonts w:ascii="David" w:hAnsi="David" w:cs="David"/>
                <w:color w:val="000000"/>
                <w:sz w:val="16"/>
                <w:szCs w:val="16"/>
                <w:rtl w:val="1"/>
              </w:rPr>
              <w:br/>
            </w:r>
            <w:r>
              <w:rPr>
                <w:rFonts w:ascii="David" w:hAnsi="David" w:cs="David"/>
                <w:b w:val="0"/>
                <w:color w:val="000000"/>
                <w:sz w:val="16"/>
                <w:szCs w:val="16"/>
                <w:rtl w:val="1"/>
              </w:rPr>
              <w:t>איזון והדרה</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מניעת בושה</w:t>
            </w:r>
            <w:r>
              <w:rPr>
                <w:rFonts w:ascii="David" w:hAnsi="David" w:cs="David"/>
                <w:color w:val="000000"/>
                <w:sz w:val="16"/>
                <w:szCs w:val="16"/>
                <w:rtl w:val="1"/>
              </w:rPr>
              <w:br/>
            </w:r>
            <w:r>
              <w:rPr>
                <w:rFonts w:ascii="David" w:hAnsi="David" w:cs="David"/>
                <w:b w:val="0"/>
                <w:color w:val="000000"/>
                <w:sz w:val="16"/>
                <w:szCs w:val="16"/>
                <w:rtl w:val="1"/>
              </w:rPr>
              <w:t>הגן כמרחב מתקן</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דרישות ליחס מועדף</w:t>
            </w:r>
            <w:r>
              <w:rPr>
                <w:rFonts w:ascii="David" w:hAnsi="David" w:cs="David"/>
                <w:color w:val="000000"/>
                <w:sz w:val="16"/>
                <w:szCs w:val="16"/>
                <w:rtl w:val="1"/>
              </w:rPr>
              <w:br/>
            </w:r>
            <w:r>
              <w:rPr>
                <w:rFonts w:ascii="David" w:hAnsi="David" w:cs="David"/>
                <w:b w:val="0"/>
                <w:color w:val="000000"/>
                <w:sz w:val="16"/>
                <w:szCs w:val="16"/>
                <w:rtl w:val="1"/>
              </w:rPr>
              <w:t>ייצוג הילד החלש</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דוגמה אישית</w:t>
            </w:r>
            <w:r>
              <w:rPr>
                <w:rFonts w:ascii="David" w:hAnsi="David" w:cs="David"/>
                <w:color w:val="000000"/>
                <w:sz w:val="16"/>
                <w:szCs w:val="16"/>
                <w:rtl w:val="1"/>
              </w:rPr>
              <w:br/>
            </w:r>
            <w:r>
              <w:rPr>
                <w:rFonts w:ascii="David" w:hAnsi="David" w:cs="David"/>
                <w:b w:val="0"/>
                <w:color w:val="000000"/>
                <w:sz w:val="16"/>
                <w:szCs w:val="16"/>
                <w:rtl w:val="1"/>
              </w:rPr>
              <w:t>שליחות ושונות</w:t>
            </w:r>
          </w:p>
        </w:tc>
      </w:tr>
    </w:tbl>
    <w:p>
      <w:pPr>
        <w:bidi w:val="1"/>
        <w:spacing w:line="360" w:lineRule="auto" w:after="40"/>
        <w:jc w:val="both"/>
      </w:pPr>
      <w:r>
        <w:rPr>
          <w:rFonts w:ascii="David" w:hAnsi="David" w:cs="David"/>
          <w:b w:val="0"/>
          <w:i w:val="0"/>
          <w:color w:val="000000"/>
          <w:sz w:val="12"/>
          <w:szCs w:val="12"/>
          <w:rtl w:val="1"/>
        </w:rPr>
      </w:r>
    </w:p>
    <w:p>
      <w:pPr>
        <w:bidi w:val="1"/>
        <w:pStyle w:val="Heading2"/>
        <w:bidi w:val="1"/>
        <w:spacing w:line="360" w:lineRule="auto" w:after="120"/>
        <w:jc w:val="right"/>
      </w:pPr>
      <w:r>
        <w:rPr>
          <w:rFonts w:ascii="David" w:hAnsi="David" w:cs="David"/>
          <w:b/>
          <w:i w:val="0"/>
          <w:color w:val="000000"/>
          <w:sz w:val="24"/>
          <w:szCs w:val="24"/>
          <w:rtl w:val="1"/>
        </w:rPr>
        <w:t>5.1 תפיסת המונח "צדק בגן"</w:t>
      </w:r>
    </w:p>
    <w:p>
      <w:pPr>
        <w:bidi w:val="1"/>
        <w:spacing w:line="360" w:lineRule="auto" w:after="120"/>
        <w:jc w:val="both"/>
      </w:pPr>
      <w:r>
        <w:rPr>
          <w:rFonts w:ascii="David" w:hAnsi="David" w:cs="David"/>
          <w:b w:val="0"/>
          <w:i w:val="0"/>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r>
        <w:rPr>
          <w:rFonts w:ascii="David" w:hAnsi="David" w:cs="David"/>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color w:val="000000"/>
          <w:sz w:val="24"/>
          <w:szCs w:val="24"/>
          <w:rtl w:val="1"/>
        </w:rPr>
        <w:t>5.2 חלוקת משאב תשומת הלב הרגשית</w:t>
      </w:r>
    </w:p>
    <w:p>
      <w:pPr>
        <w:bidi w:val="1"/>
        <w:spacing w:line="360" w:lineRule="auto" w:after="120"/>
        <w:jc w:val="both"/>
      </w:pPr>
      <w:r>
        <w:rPr>
          <w:rFonts w:ascii="David" w:hAnsi="David" w:cs="David"/>
          <w:b w:val="0"/>
          <w:i w:val="0"/>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color w:val="000000"/>
          <w:sz w:val="24"/>
          <w:szCs w:val="24"/>
          <w:rtl w:val="1"/>
        </w:rPr>
        <w:t>5.2.1 חלוקה לפי עיקרון הצורך</w:t>
      </w:r>
    </w:p>
    <w:p>
      <w:pPr>
        <w:bidi w:val="1"/>
        <w:spacing w:line="360" w:lineRule="auto" w:after="120"/>
        <w:jc w:val="both"/>
      </w:pPr>
      <w:r>
        <w:rPr>
          <w:rFonts w:ascii="David" w:hAnsi="David" w:cs="David"/>
          <w:b w:val="0"/>
          <w:i w:val="0"/>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color w:val="000000"/>
          <w:sz w:val="24"/>
          <w:szCs w:val="24"/>
          <w:rtl w:val="1"/>
        </w:rPr>
        <w:t>5.2.2 הילד השקט: מאבק בעוול הסמוי</w:t>
      </w:r>
    </w:p>
    <w:p>
      <w:pPr>
        <w:bidi w:val="1"/>
        <w:spacing w:line="360" w:lineRule="auto" w:after="120"/>
        <w:jc w:val="both"/>
      </w:pPr>
      <w:r>
        <w:rPr>
          <w:rFonts w:ascii="David" w:hAnsi="David" w:cs="David"/>
          <w:b w:val="0"/>
          <w:i w:val="0"/>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color w:val="000000"/>
          <w:sz w:val="24"/>
          <w:szCs w:val="24"/>
          <w:rtl w:val="1"/>
        </w:rPr>
        <w:t>5.2.3 שיטתיות ומודעות בחלוקת הקשב</w:t>
      </w:r>
    </w:p>
    <w:p>
      <w:pPr>
        <w:bidi w:val="1"/>
        <w:spacing w:line="360" w:lineRule="auto" w:after="120"/>
        <w:jc w:val="both"/>
      </w:pPr>
      <w:r>
        <w:rPr>
          <w:rFonts w:ascii="David" w:hAnsi="David" w:cs="David"/>
          <w:b w:val="0"/>
          <w:i w:val="0"/>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color w:val="000000"/>
          <w:sz w:val="24"/>
          <w:szCs w:val="24"/>
          <w:rtl w:val="1"/>
        </w:rPr>
        <w:t>5.3.1 ההבחנה העקרונית ויישומיה</w:t>
      </w:r>
    </w:p>
    <w:p>
      <w:pPr>
        <w:bidi w:val="1"/>
        <w:spacing w:line="360" w:lineRule="auto" w:after="120"/>
        <w:jc w:val="both"/>
      </w:pPr>
      <w:r>
        <w:rPr>
          <w:rFonts w:ascii="David" w:hAnsi="David" w:cs="David"/>
          <w:b w:val="0"/>
          <w:i w:val="0"/>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color w:val="000000"/>
          <w:sz w:val="24"/>
          <w:szCs w:val="24"/>
          <w:rtl w:val="1"/>
        </w:rPr>
        <w:t>5.3.2 הנחלת ההבחנה לילדים</w:t>
      </w:r>
    </w:p>
    <w:p>
      <w:pPr>
        <w:bidi w:val="1"/>
        <w:spacing w:line="360" w:lineRule="auto" w:after="120"/>
        <w:jc w:val="both"/>
      </w:pPr>
      <w:r>
        <w:rPr>
          <w:rFonts w:ascii="David" w:hAnsi="David" w:cs="David"/>
          <w:b w:val="0"/>
          <w:i w:val="0"/>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color w:val="000000"/>
          <w:sz w:val="24"/>
          <w:szCs w:val="24"/>
          <w:rtl w:val="1"/>
        </w:rPr>
        <w:t>5.4.1 שקיפות, תור וצפיות ככלי הוגנות</w:t>
      </w:r>
    </w:p>
    <w:p>
      <w:pPr>
        <w:bidi w:val="1"/>
        <w:spacing w:line="360" w:lineRule="auto" w:after="120"/>
        <w:jc w:val="both"/>
      </w:pPr>
      <w:r>
        <w:rPr>
          <w:rFonts w:ascii="David" w:hAnsi="David" w:cs="David"/>
          <w:b w:val="0"/>
          <w:i w:val="0"/>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color w:val="000000"/>
          <w:sz w:val="24"/>
          <w:szCs w:val="24"/>
          <w:rtl w:val="1"/>
        </w:rPr>
        <w:t>5.4.2 הכלל הגלוי והשתתפות הילדים</w:t>
      </w:r>
    </w:p>
    <w:p>
      <w:pPr>
        <w:bidi w:val="1"/>
        <w:spacing w:line="360" w:lineRule="auto" w:after="120"/>
        <w:jc w:val="both"/>
      </w:pPr>
      <w:r>
        <w:rPr>
          <w:rFonts w:ascii="David" w:hAnsi="David" w:cs="David"/>
          <w:b w:val="0"/>
          <w:i w:val="0"/>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color w:val="000000"/>
          <w:sz w:val="24"/>
          <w:szCs w:val="24"/>
          <w:rtl w:val="1"/>
        </w:rPr>
        <w:t>5.5 צדק חברתי-כלכלי ומניעת בושה</w:t>
      </w:r>
    </w:p>
    <w:p>
      <w:pPr>
        <w:bidi w:val="1"/>
        <w:spacing w:line="360" w:lineRule="auto" w:after="120"/>
        <w:jc w:val="both"/>
      </w:pPr>
      <w:r>
        <w:rPr>
          <w:rFonts w:ascii="David" w:hAnsi="David" w:cs="David"/>
          <w:b w:val="0"/>
          <w:i w:val="0"/>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color w:val="000000"/>
          <w:sz w:val="24"/>
          <w:szCs w:val="24"/>
          <w:rtl w:val="1"/>
        </w:rPr>
        <w:t>5.5.1 מניעת בושה כערך מארגן</w:t>
      </w:r>
    </w:p>
    <w:p>
      <w:pPr>
        <w:bidi w:val="1"/>
        <w:spacing w:line="360" w:lineRule="auto" w:after="120"/>
        <w:jc w:val="both"/>
      </w:pPr>
      <w:r>
        <w:rPr>
          <w:rFonts w:ascii="David" w:hAnsi="David" w:cs="David"/>
          <w:b w:val="0"/>
          <w:i w:val="0"/>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color w:val="000000"/>
          <w:sz w:val="24"/>
          <w:szCs w:val="24"/>
          <w:rtl w:val="1"/>
        </w:rPr>
        <w:t>5.5.2 הגן כמרחב מתקן</w:t>
      </w:r>
    </w:p>
    <w:p>
      <w:pPr>
        <w:bidi w:val="1"/>
        <w:spacing w:line="360" w:lineRule="auto" w:after="120"/>
        <w:jc w:val="both"/>
      </w:pPr>
      <w:r>
        <w:rPr>
          <w:rFonts w:ascii="David" w:hAnsi="David" w:cs="David"/>
          <w:b w:val="0"/>
          <w:i w:val="0"/>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color w:val="000000"/>
          <w:sz w:val="24"/>
          <w:szCs w:val="24"/>
          <w:rtl w:val="1"/>
        </w:rPr>
        <w:t>5.6 הגננת כסוכנת צדק וכמחנכת ערכים</w:t>
      </w:r>
    </w:p>
    <w:p>
      <w:pPr>
        <w:bidi w:val="1"/>
        <w:spacing w:line="360" w:lineRule="auto" w:after="120"/>
        <w:jc w:val="both"/>
      </w:pPr>
      <w:r>
        <w:rPr>
          <w:rFonts w:ascii="David" w:hAnsi="David" w:cs="David"/>
          <w:b w:val="0"/>
          <w:i w:val="0"/>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color w:val="000000"/>
          <w:sz w:val="24"/>
          <w:szCs w:val="24"/>
          <w:rtl w:val="1"/>
        </w:rPr>
        <w:t>5.6.2 שליחות, ותק והשונות בין הגננות</w:t>
      </w:r>
    </w:p>
    <w:p>
      <w:pPr>
        <w:bidi w:val="1"/>
        <w:spacing w:line="360" w:lineRule="auto" w:after="120"/>
        <w:jc w:val="both"/>
      </w:pPr>
      <w:r>
        <w:rPr>
          <w:rFonts w:ascii="David" w:hAnsi="David" w:cs="David"/>
          <w:b w:val="0"/>
          <w:i w:val="0"/>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pStyle w:val="Heading2"/>
        <w:bidi w:val="1"/>
        <w:spacing w:line="360" w:lineRule="auto" w:after="120"/>
        <w:jc w:val="right"/>
      </w:pPr>
      <w:r>
        <w:rPr>
          <w:rFonts w:ascii="David" w:hAnsi="David" w:cs="David"/>
          <w:b/>
          <w:color w:val="000000"/>
          <w:sz w:val="24"/>
          <w:szCs w:val="24"/>
          <w:rtl w:val="1"/>
        </w:rPr>
        <w:t>5.7 צדק ביחסי גננת-הורים</w:t>
      </w:r>
    </w:p>
    <w:p>
      <w:pPr>
        <w:bidi w:val="1"/>
        <w:spacing w:line="360" w:lineRule="auto" w:after="120"/>
        <w:jc w:val="both"/>
      </w:pPr>
      <w:r>
        <w:rPr>
          <w:rFonts w:ascii="David" w:hAnsi="David" w:cs="David"/>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color w:val="000000"/>
          <w:sz w:val="24"/>
          <w:szCs w:val="24"/>
          <w:rtl w:val="1"/>
        </w:rPr>
        <w:t>5.8 סיכום פרק הממצאים</w:t>
      </w:r>
    </w:p>
    <w:p>
      <w:pPr>
        <w:bidi w:val="1"/>
        <w:spacing w:line="360" w:lineRule="auto" w:after="120"/>
        <w:jc w:val="both"/>
      </w:pPr>
      <w:r>
        <w:rPr>
          <w:rFonts w:ascii="David" w:hAnsi="David" w:cs="David"/>
          <w:b w:val="0"/>
          <w:i w:val="0"/>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