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bCs/>
          <w:sz w:val="32"/>
          <w:szCs w:val="32"/>
          <w:rtl/>
        </w:rPr>
        <w:t xml:space="preserve">התוכנית למדעי היהדות</w:t>
      </w:r>
    </w:p>
    <w:p>
      <w:pPr>
        <w:bidi/>
        <w:spacing w:after="120" w:line="360" w:lineRule="auto"/>
        <w:jc w:val="center"/>
      </w:pPr>
      <w:r>
        <w:rPr>
          <w:rFonts w:ascii="David" w:cs="David" w:eastAsia="David" w:hAnsi="David"/>
          <w:b w:val="false"/>
          <w:bCs w:val="false"/>
          <w:sz w:val="28"/>
          <w:szCs w:val="28"/>
          <w:rtl/>
        </w:rPr>
        <w:t xml:space="preserve">לימודים לתואר מוסמך (.M.A) ביהדות</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8"/>
          <w:szCs w:val="28"/>
          <w:rtl/>
        </w:rPr>
        <w:t xml:space="preserve">עבודת סיום קורס:</w:t>
      </w:r>
    </w:p>
    <w:p>
      <w:pPr>
        <w:bidi/>
        <w:spacing w:after="120" w:line="360" w:lineRule="auto"/>
        <w:jc w:val="center"/>
      </w:pPr>
      <w:r>
        <w:rPr>
          <w:rFonts w:ascii="David" w:cs="David" w:eastAsia="David" w:hAnsi="David"/>
          <w:b/>
          <w:bCs/>
          <w:sz w:val="36"/>
          <w:szCs w:val="36"/>
          <w:rtl/>
        </w:rPr>
        <w:t xml:space="preserve">אדם, ספרות ומעשה בימי חז"ל</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6"/>
          <w:szCs w:val="26"/>
          <w:rtl/>
        </w:rPr>
        <w:t xml:space="preserve">סמסטר ב תשפ"ו</w:t>
      </w:r>
    </w:p>
    <w:p>
      <w:pPr>
        <w:bidi/>
        <w:spacing w:after="120" w:line="360" w:lineRule="auto"/>
        <w:jc w:val="center"/>
      </w:pPr>
      <w:r>
        <w:rPr>
          <w:rFonts w:ascii="David" w:cs="David" w:eastAsia="David" w:hAnsi="David"/>
          <w:b w:val="false"/>
          <w:bCs w:val="false"/>
          <w:sz w:val="26"/>
          <w:szCs w:val="26"/>
          <w:rtl/>
        </w:rPr>
        <w:t xml:space="preserve">שם המרצה: הרב חגית סבאג ישראל</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6"/>
          <w:szCs w:val="26"/>
          <w:rtl/>
        </w:rPr>
        <w:t xml:space="preserve">מגישה: מסאלחה חסאן</w:t>
      </w:r>
    </w:p>
    <w:p>
      <w:pPr>
        <w:bidi/>
        <w:spacing w:after="120" w:line="360" w:lineRule="auto"/>
        <w:jc w:val="center"/>
      </w:pPr>
      <w:r>
        <w:rPr>
          <w:rFonts w:ascii="David" w:cs="David" w:eastAsia="David" w:hAnsi="David"/>
          <w:b w:val="false"/>
          <w:bCs w:val="false"/>
          <w:sz w:val="26"/>
          <w:szCs w:val="26"/>
          <w:rtl/>
        </w:rPr>
        <w:t xml:space="preserve">ת"ז: 205513898</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4"/>
          <w:szCs w:val="24"/>
          <w:rtl/>
        </w:rPr>
        <w:t xml:space="preserve">אב תשפ"ו, יולי 2026</w:t>
      </w:r>
    </w:p>
    <w:p>
      <w:r>
        <w:br w:type="page"/>
      </w:r>
    </w:p>
    <w:p>
      <w:pPr>
        <w:bidi/>
        <w:spacing w:after="120" w:before="240" w:line="360" w:lineRule="auto"/>
        <w:jc w:val="right"/>
      </w:pPr>
      <w:r>
        <w:rPr>
          <w:rFonts w:ascii="David" w:cs="David" w:eastAsia="David" w:hAnsi="David"/>
          <w:b/>
          <w:bCs/>
          <w:sz w:val="28"/>
          <w:szCs w:val="28"/>
          <w:rtl/>
        </w:rPr>
        <w:t xml:space="preserve">שאלה 1: מקור טקסטואלי לדברים בפני קבוצה</w:t>
      </w:r>
    </w:p>
    <w:p>
      <w:pPr>
        <w:bidi/>
        <w:spacing w:after="60" w:before="120" w:line="360" w:lineRule="auto"/>
        <w:jc w:val="right"/>
      </w:pPr>
      <w:r>
        <w:rPr>
          <w:rFonts w:ascii="David" w:cs="David" w:eastAsia="David" w:hAnsi="David"/>
          <w:b/>
          <w:bCs/>
          <w:sz w:val="24"/>
          <w:szCs w:val="24"/>
          <w:rtl/>
        </w:rPr>
        <w:t xml:space="preserve">א. הטקסט הנבחר</w:t>
      </w:r>
    </w:p>
    <w:p>
      <w:pPr>
        <w:bidi/>
        <w:spacing w:after="120" w:line="360" w:lineRule="auto"/>
        <w:jc w:val="both"/>
      </w:pPr>
      <w:r>
        <w:rPr>
          <w:rFonts w:ascii="David" w:cs="David" w:eastAsia="David" w:hAnsi="David"/>
          <w:b w:val="false"/>
          <w:bCs w:val="false"/>
          <w:sz w:val="24"/>
          <w:szCs w:val="24"/>
          <w:rtl/>
        </w:rPr>
        <w:t xml:space="preserve">נבחרתי לשאת דברים בפתיחת שנת הפעילות של צוות שאני שותפה בהובלתו, ובחרתי לבסס את הדברים על סוגיית עגלה ערופה שנלמדה במפגש הראשון. התורה (דברים כא) קובעת שכאשר נמצא חלל בשדה ואין יודעים מי הכהו, יוצאים זקני העיר הקרובה אל נחל איתן, עורפים שם עגלה ומצהירים שידיהם לא שפכו את הדם הזה. המשנה שואלת את השאלה המתבקשת, וכי עלה על הדעת שזקני בית דין רוצחים, ומשיבה:</w:t>
      </w:r>
    </w:p>
    <w:p>
      <w:pPr>
        <w:bidi/>
        <w:spacing w:after="120" w:line="360" w:lineRule="auto"/>
        <w:ind w:left="567" w:right="567"/>
        <w:jc w:val="both"/>
      </w:pPr>
      <w:r>
        <w:rPr>
          <w:rFonts w:ascii="David" w:cs="David" w:eastAsia="David" w:hAnsi="David"/>
          <w:i/>
          <w:iCs/>
          <w:sz w:val="24"/>
          <w:szCs w:val="24"/>
          <w:rtl/>
        </w:rPr>
        <w:t xml:space="preserve">"אלא: שלא בא לידינו ופטרנוהו בלא מזון, ולא ראינוהו והנחנוהו בלא לויה."</w:t>
      </w:r>
      <w:r>
        <w:rPr>
          <w:rStyle w:val="FootnoteReference"/>
        </w:rPr>
        <w:footnoteReference w:id="1"/>
      </w:r>
    </w:p>
    <w:p>
      <w:pPr>
        <w:bidi/>
        <w:spacing w:after="120" w:line="360" w:lineRule="auto"/>
        <w:jc w:val="both"/>
      </w:pPr>
      <w:r>
        <w:rPr>
          <w:rFonts w:ascii="David" w:cs="David" w:eastAsia="David" w:hAnsi="David"/>
          <w:sz w:val="24"/>
          <w:szCs w:val="24"/>
          <w:rtl/>
        </w:rPr>
        <w:t xml:space="preserve">ההצהרה, מתברר, אינה על הרצח אלא על המחדל: הזקנים מעידים שהאיש לא יצא מעירם רעב ובלא ליווי. התלמוד מרחיב את הרעיון ומחריף אותו: "כל שאינו מלוה ומתלוה כאילו שופך דמים"</w:t>
      </w:r>
      <w:r>
        <w:rPr>
          <w:rStyle w:val="FootnoteReference"/>
        </w:rPr>
        <w:footnoteReference w:id="2"/>
      </w:r>
      <w:r>
        <w:rPr>
          <w:rFonts w:ascii="David" w:cs="David" w:eastAsia="David" w:hAnsi="David"/>
          <w:sz w:val="24"/>
          <w:szCs w:val="24"/>
          <w:rtl/>
        </w:rPr>
        <w:t xml:space="preserve">, ולצד האזהרה מובאת שם גם הבטחה, שהמלווה את חברו ארבע אמות בעיר שוב אינו ניזוק.</w:t>
      </w:r>
    </w:p>
    <w:p>
      <w:pPr>
        <w:bidi/>
        <w:spacing w:after="60" w:before="120" w:line="360" w:lineRule="auto"/>
        <w:jc w:val="right"/>
      </w:pPr>
      <w:r>
        <w:rPr>
          <w:rFonts w:ascii="David" w:cs="David" w:eastAsia="David" w:hAnsi="David"/>
          <w:b/>
          <w:bCs/>
          <w:sz w:val="24"/>
          <w:szCs w:val="24"/>
          <w:rtl/>
        </w:rPr>
        <w:t xml:space="preserve">ב. תיאור הטקסט</w:t>
      </w:r>
    </w:p>
    <w:p>
      <w:pPr>
        <w:bidi/>
        <w:spacing w:after="120" w:line="360" w:lineRule="auto"/>
        <w:jc w:val="both"/>
      </w:pPr>
      <w:r>
        <w:rPr>
          <w:rFonts w:ascii="David" w:cs="David" w:eastAsia="David" w:hAnsi="David"/>
          <w:sz w:val="24"/>
          <w:szCs w:val="24"/>
          <w:rtl/>
        </w:rPr>
        <w:t xml:space="preserve">מקור הטקסט במשנה, מסכת סוטה, בפרק העוסק בטקסים שבטלו, והרחבתו בסוגיה בבבלי שם. הדמויות המרכזיות הן זקני העיר והכוהנים, כלומר ההנהגה, ומולם החלל האלמוני שאיש אינו יודע את שמו. הסיטואציה היא מוות שאין לו אשם ידוע, ודווקא בו מחייבים התורה וחז"ל את ההנהגה כולה לצאת אל הנחל ולתת דין וחשבון פומבי. בקורס נלמד המקור כדוגמה לתנועה של חז"ל מן המקרא אל המשנה ואל התלמוד: מטקס כפרה פולחני אל אמירה מוסרית על אחריות חברתית</w:t>
      </w:r>
      <w:r>
        <w:rPr>
          <w:rStyle w:val="FootnoteReference"/>
        </w:rPr>
        <w:footnoteReference w:id="3"/>
      </w:r>
      <w:r>
        <w:rPr>
          <w:rFonts w:ascii="David" w:cs="David" w:eastAsia="David" w:hAnsi="David"/>
          <w:sz w:val="24"/>
          <w:szCs w:val="24"/>
          <w:rtl/>
        </w:rPr>
        <w:t xml:space="preserve">.</w:t>
      </w:r>
    </w:p>
    <w:p>
      <w:pPr>
        <w:bidi/>
        <w:spacing w:after="60" w:before="120" w:line="360" w:lineRule="auto"/>
        <w:jc w:val="right"/>
      </w:pPr>
      <w:r>
        <w:rPr>
          <w:rFonts w:ascii="David" w:cs="David" w:eastAsia="David" w:hAnsi="David"/>
          <w:b/>
          <w:bCs/>
          <w:sz w:val="24"/>
          <w:szCs w:val="24"/>
          <w:rtl/>
        </w:rPr>
        <w:t xml:space="preserve">ג. מדוע הטקסט מתאים ורלוונטי</w:t>
      </w:r>
    </w:p>
    <w:p>
      <w:pPr>
        <w:bidi/>
        <w:spacing w:after="120" w:line="360" w:lineRule="auto"/>
        <w:jc w:val="both"/>
      </w:pPr>
      <w:r>
        <w:rPr>
          <w:rFonts w:ascii="David" w:cs="David" w:eastAsia="David" w:hAnsi="David"/>
          <w:b w:val="false"/>
          <w:bCs w:val="false"/>
          <w:sz w:val="24"/>
          <w:szCs w:val="24"/>
          <w:rtl/>
        </w:rPr>
        <w:t xml:space="preserve">הטקסט מתאים לדעתי משום שהוא אומר בדיוק את מה שאני מבקשת לחדד: קבוצה נמדדת במה שקל לה להזניח. הזקנים אינם נחשדים ברצח. הם נתבעים על ליווי שלא ניתן ועל מזון שלא הוצע. אחריות, על פי חז"ל, אינה מסתכמת בהימנעות מפגיעה; היא חובת נוכחות פעילה: לראות את מי שבשוליים, ללוות את היוצא לדרך, לא להניח לאיש לצאת מן העיר לבדו. עבור צוות בתחילת שנה זו אמירה מעשית מאוד. תרבות של קבוצה מתגלה ברגעי הפרידה והמעבר של חבריה, ובשאלה אם מישהו נעלם ואיש לא שם לב. האמירה שהובאה לעיל, שמי שאינו מלווה כמוהו כשופך דמים, חריפה במתכוון, והחריפות הזאת היא שנחקקת בזיכרון השומעים.</w:t>
      </w:r>
    </w:p>
    <w:p>
      <w:r>
        <w:br w:type="page"/>
      </w:r>
    </w:p>
    <w:p>
      <w:pPr>
        <w:bidi/>
        <w:spacing w:after="120" w:before="240" w:line="360" w:lineRule="auto"/>
        <w:jc w:val="right"/>
      </w:pPr>
      <w:r>
        <w:rPr>
          <w:rFonts w:ascii="David" w:cs="David" w:eastAsia="David" w:hAnsi="David"/>
          <w:b/>
          <w:bCs/>
          <w:sz w:val="28"/>
          <w:szCs w:val="28"/>
          <w:rtl/>
        </w:rPr>
        <w:t xml:space="preserve">שאלה 2: החיבור המשמעותי ביותר בתקופת חז"ל: המשנה</w:t>
      </w:r>
    </w:p>
    <w:p>
      <w:pPr>
        <w:bidi/>
        <w:spacing w:after="60" w:before="120" w:line="360" w:lineRule="auto"/>
        <w:jc w:val="right"/>
      </w:pPr>
      <w:r>
        <w:rPr>
          <w:rFonts w:ascii="David" w:cs="David" w:eastAsia="David" w:hAnsi="David"/>
          <w:b/>
          <w:bCs/>
          <w:sz w:val="24"/>
          <w:szCs w:val="24"/>
          <w:rtl/>
        </w:rPr>
        <w:t xml:space="preserve">א. תיאור החיבור</w:t>
      </w:r>
    </w:p>
    <w:p>
      <w:pPr>
        <w:bidi/>
        <w:spacing w:after="120" w:line="360" w:lineRule="auto"/>
        <w:jc w:val="both"/>
      </w:pPr>
      <w:r>
        <w:rPr>
          <w:rFonts w:ascii="David" w:cs="David" w:eastAsia="David" w:hAnsi="David"/>
          <w:sz w:val="24"/>
          <w:szCs w:val="24"/>
          <w:rtl/>
        </w:rPr>
        <w:t xml:space="preserve">החיבור המשמעותי ביותר בעיניי מתקופת חז"ל הוא המשנה. המשנה נערכה בארץ ישראל בסביבות שנת 220 לספירה בידי רבי יהודה הנשיא ("רבי"), כסיכום ההלכה התנאית שהתפתחה בבתי המדרש מדורות בית הלל ובית שמאי, דרך משנת רבי עקיבא ותלמידיו, ועד דורו של העורך. מאפייניה, כפי שנלמדו בעקבות מבואו של הלברטל</w:t>
      </w:r>
      <w:r>
        <w:rPr>
          <w:rStyle w:val="FootnoteReference"/>
        </w:rPr>
        <w:footnoteReference w:id="4"/>
      </w:r>
      <w:r>
        <w:rPr>
          <w:rFonts w:ascii="David" w:cs="David" w:eastAsia="David" w:hAnsi="David"/>
          <w:sz w:val="24"/>
          <w:szCs w:val="24"/>
          <w:rtl/>
        </w:rPr>
        <w:t xml:space="preserve">: היקף עצום ויומרה לסכם את כלל הידע ההלכתי; ארגון ענייני בשישה סדרים (זרעים, מועד, נשים, נזיקין, קדשים, טהרות) ולא לפי סדר פסוקי המקרא; עברית ייחודית, "לשון חכמים", קצרה, מדודה וכמעט בלא הנמקות; ועריכה כרצף מחלוקות המשמרת דעות רבים ויחיד בשם אומריהן. המניעים לעריכה שנידונו בשיעור: חשש מאובדן המסורת בתקופה סוערת שלאחר החורבן והמרידות, התרחבות הידע והקושי לשלוט בו, והצורך לשמר את המסורת בלא תלות במוסדות ריכוזיים שחרבו</w:t>
      </w:r>
      <w:r>
        <w:rPr>
          <w:rStyle w:val="FootnoteReference"/>
        </w:rPr>
        <w:footnoteReference w:id="5"/>
      </w:r>
      <w:r>
        <w:rPr>
          <w:rFonts w:ascii="David" w:cs="David" w:eastAsia="David" w:hAnsi="David"/>
          <w:sz w:val="24"/>
          <w:szCs w:val="24"/>
          <w:rtl/>
        </w:rPr>
        <w:t xml:space="preserve">.</w:t>
      </w:r>
    </w:p>
    <w:p>
      <w:pPr>
        <w:bidi/>
        <w:spacing w:after="60" w:before="120" w:line="360" w:lineRule="auto"/>
        <w:jc w:val="right"/>
      </w:pPr>
      <w:r>
        <w:rPr>
          <w:rFonts w:ascii="David" w:cs="David" w:eastAsia="David" w:hAnsi="David"/>
          <w:b/>
          <w:bCs/>
          <w:sz w:val="24"/>
          <w:szCs w:val="24"/>
          <w:rtl/>
        </w:rPr>
        <w:t xml:space="preserve">ב. משמעות החיבור והשינוי שחולל</w:t>
      </w:r>
    </w:p>
    <w:p>
      <w:pPr>
        <w:bidi/>
        <w:spacing w:after="120" w:line="360" w:lineRule="auto"/>
        <w:jc w:val="both"/>
      </w:pPr>
      <w:r>
        <w:rPr>
          <w:rFonts w:ascii="David" w:cs="David" w:eastAsia="David" w:hAnsi="David"/>
          <w:sz w:val="24"/>
          <w:szCs w:val="24"/>
          <w:rtl/>
        </w:rPr>
        <w:t xml:space="preserve">המשנה היא החיבור הראשון שהעלה את התורה שבעל פה מאוסף מסורות מפוזרות לכדי קורפוס ערוך ומחייב, ומכאן עיקר כוחה. אחרי החורבן, משבטלה עבודת הקרבנות, נעשה לימוד הטקסט למרכז החיים הדתיים, והמשנה היא שהעניקה ללימוד הזה צורה: בלשון מצגת הקורס, היא "הזיכרון המארגן" של עולם החכמים</w:t>
      </w:r>
      <w:r>
        <w:rPr>
          <w:rStyle w:val="FootnoteReference"/>
        </w:rPr>
        <w:footnoteReference w:id="6"/>
      </w:r>
      <w:r>
        <w:rPr>
          <w:rFonts w:ascii="David" w:cs="David" w:eastAsia="David" w:hAnsi="David"/>
          <w:sz w:val="24"/>
          <w:szCs w:val="24"/>
          <w:rtl/>
        </w:rPr>
        <w:t xml:space="preserve">. היא גם יצרה שפה משותפת לעם כולו. שני התלמודים, הבבלי והירושלמי, נבנו כפירוש עליה, וכל ספרות ההלכה שאחריהם נשענת עליה עד ימינו. ושינוי נוסף, מהפכני לא פחות: בעריכתה כרצף מחלוקות קיבעה המשנה את המחלוקת הלגיטימית כדרכה של תורה שבעל פה. בניגוד לחתירה לאחידות שאפיינה את האמונה המקראית, בית המדרש רואה בריבוי דעות ובביקורת הדדית את הדרך לבירור האמת.</w:t>
      </w:r>
    </w:p>
    <w:p>
      <w:pPr>
        <w:bidi/>
        <w:spacing w:after="60" w:before="120" w:line="360" w:lineRule="auto"/>
        <w:jc w:val="right"/>
      </w:pPr>
      <w:r>
        <w:rPr>
          <w:rFonts w:ascii="David" w:cs="David" w:eastAsia="David" w:hAnsi="David"/>
          <w:b/>
          <w:bCs/>
          <w:sz w:val="24"/>
          <w:szCs w:val="24"/>
          <w:rtl/>
        </w:rPr>
        <w:t xml:space="preserve">ג. דוגמה מתוך החיבור</w:t>
      </w:r>
    </w:p>
    <w:p>
      <w:pPr>
        <w:bidi/>
        <w:spacing w:after="120" w:line="360" w:lineRule="auto"/>
        <w:jc w:val="both"/>
      </w:pPr>
      <w:r>
        <w:rPr>
          <w:rFonts w:ascii="David" w:cs="David" w:eastAsia="David" w:hAnsi="David"/>
          <w:b w:val="false"/>
          <w:bCs w:val="false"/>
          <w:sz w:val="24"/>
          <w:szCs w:val="24"/>
          <w:rtl/>
        </w:rPr>
        <w:t xml:space="preserve">דוגמה הממחישה זאת, מתוך דף החברותא על מאפייני המשנה: משנה, מסכת סוכה פרק א, משנה א.</w:t>
      </w:r>
    </w:p>
    <w:p>
      <w:pPr>
        <w:bidi/>
        <w:spacing w:after="120" w:line="360" w:lineRule="auto"/>
        <w:ind w:left="567" w:right="567"/>
        <w:jc w:val="both"/>
      </w:pPr>
      <w:r>
        <w:rPr>
          <w:rFonts w:ascii="David" w:cs="David" w:eastAsia="David" w:hAnsi="David"/>
          <w:i/>
          <w:iCs/>
          <w:sz w:val="24"/>
          <w:szCs w:val="24"/>
          <w:rtl/>
        </w:rPr>
        <w:t xml:space="preserve">"סֻכָּה שֶׁהִיא גְבוֹהָה לְמַעְלָה מֵעֶשְׂרִים אַמָּה, פְּסוּלָה. רַבִּי יְהוּדָה מַכְשִׁיר. וְשֶׁאֵינָהּ גְּבוֹהָה עֲשָׂרָה טְפָחִים, וְשֶׁאֵין לָהּ שְׁלֹשָׁה דְּפָנוֹת, וְשֶׁחַמָּתָהּ מְרֻבָּה מִצִּלָּתָהּ, פְּסוּלָה."</w:t>
      </w:r>
      <w:r>
        <w:rPr>
          <w:rStyle w:val="FootnoteReference"/>
        </w:rPr>
        <w:footnoteReference w:id="7"/>
      </w:r>
    </w:p>
    <w:p>
      <w:pPr>
        <w:bidi/>
        <w:spacing w:after="120" w:line="360" w:lineRule="auto"/>
        <w:jc w:val="both"/>
      </w:pPr>
      <w:r>
        <w:rPr>
          <w:rFonts w:ascii="David" w:cs="David" w:eastAsia="David" w:hAnsi="David"/>
          <w:b w:val="false"/>
          <w:bCs w:val="false"/>
          <w:sz w:val="24"/>
          <w:szCs w:val="24"/>
          <w:rtl/>
        </w:rPr>
        <w:t xml:space="preserve">במשנה קצרה זו ניכר כל מה שתואר לעיל. היא פותחת מסכת שלמה המוקדשת לנושא אחד, הסוכה, בלא זיקה לסדר הפסוקים. לשונה פסקנית, קובעת שיעורים מספריים מדויקים ואינה מנמקת. והיא משמרת בגוף ההלכה את דעת היחיד החולקת, זו של רבי יהודה, בלא הכרעה מפורשת ובלא מחיקת הדעה שנדחתה. כך נראה השינוי שחוללה המשנה הלכה למעשה: חוק מקיף ומאורגן שהמחלוקת אינה תקלה בו אלא חלק ממהותו, והוא שהזמין את הדורות הבאים, בתלמודים ואילך, להמשיך ולדון בו.</w:t>
      </w:r>
    </w:p>
    <w:p>
      <w:r>
        <w:br w:type="page"/>
      </w:r>
    </w:p>
    <w:p>
      <w:pPr>
        <w:bidi/>
        <w:spacing w:after="120" w:before="240" w:line="360" w:lineRule="auto"/>
        <w:jc w:val="right"/>
      </w:pPr>
      <w:r>
        <w:rPr>
          <w:rFonts w:ascii="David" w:cs="David" w:eastAsia="David" w:hAnsi="David"/>
          <w:b/>
          <w:bCs/>
          <w:sz w:val="28"/>
          <w:szCs w:val="28"/>
          <w:rtl/>
        </w:rPr>
        <w:t xml:space="preserve">שאלה 3: הקטע מתוך הסרט "אגדת חורבן"</w:t>
      </w:r>
    </w:p>
    <w:p>
      <w:pPr>
        <w:bidi/>
        <w:spacing w:after="60" w:before="120" w:line="360" w:lineRule="auto"/>
        <w:jc w:val="right"/>
      </w:pPr>
      <w:r>
        <w:rPr>
          <w:rFonts w:ascii="David" w:cs="David" w:eastAsia="David" w:hAnsi="David"/>
          <w:b/>
          <w:bCs/>
          <w:sz w:val="24"/>
          <w:szCs w:val="24"/>
          <w:rtl/>
        </w:rPr>
        <w:t xml:space="preserve">א. המדרש שעליו מבוסס הקטע</w:t>
      </w:r>
    </w:p>
    <w:p>
      <w:pPr>
        <w:bidi/>
        <w:spacing w:after="120" w:line="360" w:lineRule="auto"/>
        <w:jc w:val="both"/>
      </w:pPr>
      <w:r>
        <w:rPr>
          <w:rFonts w:ascii="David" w:cs="David" w:eastAsia="David" w:hAnsi="David"/>
          <w:b w:val="false"/>
          <w:bCs w:val="false"/>
          <w:sz w:val="24"/>
          <w:szCs w:val="24"/>
          <w:rtl/>
        </w:rPr>
        <w:t xml:space="preserve">הקטע (דקות 01:03:30 עד 01:10:00) מבוסס על אגדת יציאתו של רבן יוחנן בן זכאי מירושלים הנצורה, שנלמדה ביחידה "צמיחה מתוך משבר". להלן החלק הרלוונטי, בתרגום לעברית על פי דף המקורות של הקורס:</w:t>
      </w:r>
    </w:p>
    <w:p>
      <w:pPr>
        <w:bidi/>
        <w:spacing w:after="120" w:line="360" w:lineRule="auto"/>
        <w:ind w:left="567" w:right="567"/>
        <w:jc w:val="both"/>
      </w:pPr>
      <w:r>
        <w:rPr>
          <w:rFonts w:ascii="David" w:cs="David" w:eastAsia="David" w:hAnsi="David"/>
          <w:i/>
          <w:iCs/>
          <w:sz w:val="24"/>
          <w:szCs w:val="24"/>
          <w:rtl/>
        </w:rPr>
        <w:t xml:space="preserve">"אבא סיקרא, ראש בריוני ירושלים, בן אחותו של רבן יוחנן בן זכאי היה. שלח לו: בוא אלי בצנעה... אמר לו: עד מתי תעשו כך ותהרגו את העולם ברעב?... אמר לו: אני רואה תקנה בשבילי, שאצא [מן העיר]; אפשר שתהיה בזה הצלה מועטה... נכנס תחתיו [לארון] רבי אליעזר מצד אחד ורבי יהושע מצד אחר... רצו [הבריונים] לדקור אותו. אמר להם: יאמרו 'את רבם דקרו'!... אמר לו: תן לי יבנה וחכמיה, ושושלת רבן גמליאל, ורופאים שירפאו את רבי צדוק. קרא עליו רב יוסף, ויש אומרים רבי עקיבא: 'משיב חכמים אחור ודעתם יסכל'."</w:t>
      </w:r>
      <w:r>
        <w:rPr>
          <w:rStyle w:val="FootnoteReference"/>
        </w:rPr>
        <w:footnoteReference w:id="8"/>
      </w:r>
    </w:p>
    <w:p>
      <w:pPr>
        <w:bidi/>
        <w:spacing w:after="60" w:before="120" w:line="360" w:lineRule="auto"/>
        <w:jc w:val="right"/>
      </w:pPr>
      <w:r>
        <w:rPr>
          <w:rFonts w:ascii="David" w:cs="David" w:eastAsia="David" w:hAnsi="David"/>
          <w:b/>
          <w:bCs/>
          <w:sz w:val="24"/>
          <w:szCs w:val="24"/>
          <w:rtl/>
        </w:rPr>
        <w:t xml:space="preserve">ב. בין המדרש לסרט: דמיונות והבדלים</w:t>
      </w:r>
    </w:p>
    <w:p>
      <w:pPr>
        <w:bidi/>
        <w:spacing w:after="120" w:line="360" w:lineRule="auto"/>
        <w:jc w:val="both"/>
      </w:pPr>
      <w:r>
        <w:rPr>
          <w:rFonts w:ascii="David" w:cs="David" w:eastAsia="David" w:hAnsi="David"/>
          <w:sz w:val="24"/>
          <w:szCs w:val="24"/>
          <w:rtl/>
        </w:rPr>
        <w:t xml:space="preserve">שלושה דמיונות. האחד, שלד העלילה: פגישה חשאית בין רבן יוחנן לבין בן אחותו העומד בראש הקנאים, הכרה משותפת שהרעב מכלה את העיר, ותחבולת המוות המדומה, שבה מוצא הרב מירושלים בארון קבורה הנישא בידי תלמידיו. השני, סצנת השער: השומרים דורשים לדקור את הארון כדי לוודא שהמת אכן מת, והאחיין בולם אותם בטיעון של האגדה עצמה, שלא ייאמר כי הקנאים פגעו ברבם, והם נסוגים מתוך יראת כבוד לתורה. השלישי, מטרת היציאה: בסרט כבמדרש, ההצלה איננה הצלת העיר. רבן יוחנן אומר לבן בטיח שדאגתו נתונה לכך "שלא תאבד התורה שבעל פה מישראל"</w:t>
      </w:r>
      <w:r>
        <w:rPr>
          <w:rStyle w:val="FootnoteReference"/>
        </w:rPr>
        <w:footnoteReference w:id="9"/>
      </w:r>
      <w:r>
        <w:rPr>
          <w:rFonts w:ascii="David" w:cs="David" w:eastAsia="David" w:hAnsi="David"/>
          <w:sz w:val="24"/>
          <w:szCs w:val="24"/>
          <w:rtl/>
        </w:rPr>
        <w:t xml:space="preserve">, ניסוח קולנועי של מה שיבשיל אצל אספסיינוס לבקשה על יבנה וחכמיה.</w:t>
      </w:r>
    </w:p>
    <w:p>
      <w:pPr>
        <w:bidi/>
        <w:spacing w:after="120" w:line="360" w:lineRule="auto"/>
        <w:jc w:val="both"/>
      </w:pPr>
      <w:r>
        <w:rPr>
          <w:rFonts w:ascii="David" w:cs="David" w:eastAsia="David" w:hAnsi="David"/>
          <w:b w:val="false"/>
          <w:bCs w:val="false"/>
          <w:sz w:val="24"/>
          <w:szCs w:val="24"/>
          <w:rtl/>
        </w:rPr>
        <w:t xml:space="preserve">ושלושה הבדלים. ראשית, דמות האחיין: בבבלי זהו אבא סיקרא, דמות לקונית המופיעה בתמונה אחת בלבד; בסרט, ההולך כאן בעקבות גרסת איכה רבה, זהו בן בטיח, גיבור ראשי בעל עלילה שלמה, והמפגש עם הדוד נטען ברגש אישי: הוא מגיע אליו אבל על אמו ומיוסר על שריפת המחסנים שהמיטה את הרעב. שנית, כיוון ההאשמה מתהפך: בבבלי רבן יוחנן הוא שמוכיח את אחיינו על שהקנאים מרעיבים את העולם; בסרט דווקא רבן יוחנן מרגיע את בן בטיח וקובע שהרעב היה גזרה משמיים ובן בטיח לא היה אלא שליחה, תיאולוגיה מפורשת שאין לה זכר באגדה. שלישית, פרטי התחבולה ומה שהושמט: הסרט מוסיף את גזרתו של בר גיורא שאיש לא ייצא מן החומות מלבד המתים, את העמדת פני החולה ואת הדבר המצחין שהונח במיטה כדי לשכנע במותו, פרטים ממסורת איכה רבה שאינם בבבלי; ומנגד, קול הביקורת התלמודי, קריאתם של רב יוסף או רבי עקיבא נגד הבקשה הצנועה, נעדר מן הקטע כליל, והצופה נותר לשפוט בעצמו.</w:t>
      </w:r>
    </w:p>
    <w:p>
      <w:pPr>
        <w:bidi/>
        <w:spacing w:after="60" w:before="120" w:line="360" w:lineRule="auto"/>
        <w:jc w:val="right"/>
      </w:pPr>
      <w:r>
        <w:rPr>
          <w:rFonts w:ascii="David" w:cs="David" w:eastAsia="David" w:hAnsi="David"/>
          <w:b/>
          <w:bCs/>
          <w:sz w:val="24"/>
          <w:szCs w:val="24"/>
          <w:rtl/>
        </w:rPr>
        <w:t xml:space="preserve">ג. הסבר המדרש לאור המאמר מן הסילבוס</w:t>
      </w:r>
    </w:p>
    <w:p>
      <w:pPr>
        <w:bidi/>
        <w:spacing w:after="120" w:line="360" w:lineRule="auto"/>
        <w:jc w:val="both"/>
      </w:pPr>
      <w:r>
        <w:rPr>
          <w:rFonts w:ascii="David" w:cs="David" w:eastAsia="David" w:hAnsi="David"/>
          <w:sz w:val="24"/>
          <w:szCs w:val="24"/>
          <w:rtl/>
        </w:rPr>
        <w:t xml:space="preserve">במאמרה על הסיפור מציעה דליה מרקס לקרוא את האגדה כסיפור של מעתק: רגע המעבר ממציאות שבה יש לעם מרכז פולחני בירושלים אל מציאות שנדרשה למצוא קדושה בדרכים חדשות. האגדה, היא מדגישה, אינה מתארת את המעבר בלבד; היא יוצרת אותו ומעניקה לו משמעות</w:t>
      </w:r>
      <w:r>
        <w:rPr>
          <w:rStyle w:val="FootnoteReference"/>
        </w:rPr>
        <w:footnoteReference w:id="10"/>
      </w:r>
      <w:r>
        <w:rPr>
          <w:rFonts w:ascii="David" w:cs="David" w:eastAsia="David" w:hAnsi="David"/>
          <w:sz w:val="24"/>
          <w:szCs w:val="24"/>
          <w:rtl/>
        </w:rPr>
        <w:t xml:space="preserve">. בעקבות דבריו של ג'ונתן רוזן, המובאים בפתח המאמר, רואה מרקס במסע בארון המתים ביצוע סמלי של שינוי הצורה שעברה היהדות: היהודים מתו כעם של הגוף, של הארץ ושל פולחן המקדש, ונולדו מחדש כעם הספר</w:t>
      </w:r>
      <w:r>
        <w:rPr>
          <w:rStyle w:val="FootnoteReference"/>
        </w:rPr>
        <w:footnoteReference w:id="11"/>
      </w:r>
      <w:r>
        <w:rPr>
          <w:rFonts w:ascii="David" w:cs="David" w:eastAsia="David" w:hAnsi="David"/>
          <w:sz w:val="24"/>
          <w:szCs w:val="24"/>
          <w:rtl/>
        </w:rPr>
        <w:t xml:space="preserve">. רבן יוחנן חייב למות מוות סמלי כדי שדבר חדש יוכל להיוולד, והיציאה בארון היא הרפיה מאחיזה בירושלים שדינה נגזר. הקריאה הזאת מאירה היטב את הקטע: בן בטיח עסוק באבנים, בעצים ובאשמת המתים, ואילו רבן יוחנן כבר חי את המציאות הבאה. את הבקשה על יבנה וחכמיה מסבירה מרקס, בעקבות שרמר, כהעמדת שכבת החכמים בראש העם: יבנה וחכמיה באות תחת ירושלים ובית מקדשה</w:t>
      </w:r>
      <w:r>
        <w:rPr>
          <w:rStyle w:val="FootnoteReference"/>
        </w:rPr>
        <w:footnoteReference w:id="12"/>
      </w:r>
      <w:r>
        <w:rPr>
          <w:rFonts w:ascii="David" w:cs="David" w:eastAsia="David" w:hAnsi="David"/>
          <w:sz w:val="24"/>
          <w:szCs w:val="24"/>
          <w:rtl/>
        </w:rPr>
        <w:t xml:space="preserve">. גם המסורת המגנה את רבן יוחנן נקראת אצלה כהעמדה מכוונת של שני עולמות זה מול זה, רב יוסף הצופה מבבל מזה, ורבי עקיבא, שבחר בדור בר כוכבא בדרך ההפוכה, מזה. התלמוד הנציח את הסיפור יחד עם המחלוקת עליו.</w:t>
      </w:r>
    </w:p>
    <w:p>
      <w:pPr>
        <w:bidi/>
        <w:spacing w:after="60" w:before="120" w:line="360" w:lineRule="auto"/>
        <w:jc w:val="right"/>
      </w:pPr>
      <w:r>
        <w:rPr>
          <w:rFonts w:ascii="David" w:cs="David" w:eastAsia="David" w:hAnsi="David"/>
          <w:b/>
          <w:bCs/>
          <w:sz w:val="24"/>
          <w:szCs w:val="24"/>
          <w:rtl/>
        </w:rPr>
        <w:t xml:space="preserve">ד. משמעות המדרש לימינו</w:t>
      </w:r>
    </w:p>
    <w:p>
      <w:pPr>
        <w:bidi/>
        <w:spacing w:after="120" w:line="360" w:lineRule="auto"/>
        <w:jc w:val="both"/>
      </w:pPr>
      <w:r>
        <w:rPr>
          <w:rFonts w:ascii="David" w:cs="David" w:eastAsia="David" w:hAnsi="David"/>
          <w:sz w:val="24"/>
          <w:szCs w:val="24"/>
          <w:rtl/>
        </w:rPr>
        <w:t xml:space="preserve">זהו בעיניי המדרש הנלמד ביותר משום שהוא הסיפור המכונן של צמיחה מתוך משבר, הציר שעליו נבנתה היהדות הרבנית כולה. יבנה נעשתה, כדברי מרקס, ארכיטיפ תודעתי, וכל מקום תורה שתלמידים נוהרים אליו הוא בחזקת יבנה</w:t>
      </w:r>
      <w:r>
        <w:rPr>
          <w:rStyle w:val="FootnoteReference"/>
        </w:rPr>
        <w:footnoteReference w:id="13"/>
      </w:r>
      <w:r>
        <w:rPr>
          <w:rFonts w:ascii="David" w:cs="David" w:eastAsia="David" w:hAnsi="David"/>
          <w:sz w:val="24"/>
          <w:szCs w:val="24"/>
          <w:rtl/>
        </w:rPr>
        <w:t xml:space="preserve">. הסיפור מעמיד דגם מנהיגות שממשיך לדבר אל קוראיו: מול קנאות הנלחמת עד כלות, פרגמטיזם שמציל את מה שאפשר להציל ומתרגם חורבן לבניין. מרקס מראה כיצד דורות שונים יצקו אל הסיפור את עולמם, ממורים שראו בו אחרי השואה את ניצחון הלימוד על הכוח ועד ויכוחים ציבוריים בישראל שבהם נאבקים על דמותו של רבן יוחנן תומכים ומבקרים כאחד. דווקא העמימות, שהתלמוד עצמו שימר בביקורת על הבקשה הצנועה, היא סוד כוחו. הוא אינו מוסר חד משמעי אלא מראה, לאומה וגם לכל אדם המקים את חייו מן החורבות.</w:t>
      </w:r>
    </w:p>
    <w:p>
      <w:r>
        <w:br w:type="page"/>
      </w:r>
    </w:p>
    <w:p>
      <w:pPr>
        <w:bidi/>
        <w:spacing w:after="120" w:before="240" w:line="360" w:lineRule="auto"/>
        <w:jc w:val="right"/>
      </w:pPr>
      <w:r>
        <w:rPr>
          <w:rFonts w:ascii="David" w:cs="David" w:eastAsia="David" w:hAnsi="David"/>
          <w:b/>
          <w:bCs/>
          <w:sz w:val="28"/>
          <w:szCs w:val="28"/>
          <w:rtl/>
        </w:rPr>
        <w:t xml:space="preserve">שאלה 4: ניתוח מקור: תחילתו של רבי אליעזר בן הורקנוס</w:t>
      </w:r>
    </w:p>
    <w:p>
      <w:pPr>
        <w:bidi/>
        <w:spacing w:after="120" w:line="360" w:lineRule="auto"/>
        <w:jc w:val="both"/>
      </w:pPr>
      <w:r>
        <w:rPr>
          <w:rFonts w:ascii="David" w:cs="David" w:eastAsia="David" w:hAnsi="David"/>
          <w:sz w:val="24"/>
          <w:szCs w:val="24"/>
          <w:rtl/>
        </w:rPr>
        <w:t xml:space="preserve">בחרתי במקור הראשון: סיפור תחילתו של רבי אליעזר בן הורקנוס, שנלמד בדף החברותא "איך נעשים חכמ.ה"</w:t>
      </w:r>
      <w:r>
        <w:rPr>
          <w:rStyle w:val="FootnoteReference"/>
        </w:rPr>
        <w:footnoteReference w:id="14"/>
      </w:r>
      <w:r>
        <w:rPr>
          <w:rFonts w:ascii="David" w:cs="David" w:eastAsia="David" w:hAnsi="David"/>
          <w:sz w:val="24"/>
          <w:szCs w:val="24"/>
          <w:rtl/>
        </w:rPr>
        <w:t xml:space="preserve">.</w:t>
      </w:r>
    </w:p>
    <w:p>
      <w:pPr>
        <w:bidi/>
        <w:spacing w:after="60" w:before="120" w:line="360" w:lineRule="auto"/>
        <w:jc w:val="right"/>
      </w:pPr>
      <w:r>
        <w:rPr>
          <w:rFonts w:ascii="David" w:cs="David" w:eastAsia="David" w:hAnsi="David"/>
          <w:b/>
          <w:bCs/>
          <w:sz w:val="24"/>
          <w:szCs w:val="24"/>
          <w:rtl/>
        </w:rPr>
        <w:t xml:space="preserve">א. הסבר הטקסט במילותיי</w:t>
      </w:r>
    </w:p>
    <w:p>
      <w:pPr>
        <w:bidi/>
        <w:spacing w:after="120" w:line="360" w:lineRule="auto"/>
        <w:jc w:val="both"/>
      </w:pPr>
      <w:r>
        <w:rPr>
          <w:rFonts w:ascii="David" w:cs="David" w:eastAsia="David" w:hAnsi="David"/>
          <w:sz w:val="24"/>
          <w:szCs w:val="24"/>
          <w:rtl/>
        </w:rPr>
        <w:t xml:space="preserve">הסיפור מתאר את ראשית דרכו של מי שיהיה מגדולי התנאים, והוא מתחיל דווקא בכישלון. אליעזר הוא בן עשרים ושתיים שלא למד תורה מעולם, בן לאב עשיר בעל שדות. בעוד אחיו חורשים באדמה הפורייה, הוא נשלח לחרוש בטרשים, והוא בוכה. האב מפרש את הבכי כקובלנה על תנאי העבודה ומיטיב עמו, אך הבכי נמשך, שכן מקורו אחר לגמרי: הרצון ללמוד תורה. האב לועג לו, בן עשרים ושתיים ואתה מבקש ללמוד?! אליעזר בורח מבית אביו אל בית מדרשו של רבן יוחנן בן זכאי בירושלים, ושם מתחיל מבראשית: קריאת שמע, תפילה, ברכת המזון, שתי הלכות ביום. הוא לומד ברעב ובמסירות קיצונית, שמונה ימים בלא מזון, עד שריח פיו מסגיר אותו, והרב מגלה את גדול תלמידיו העתידי דווקא בתלמיד המורעב והבוש. שיא הסיפור בהיפוך כפול. הורקנוס עולה לירושלים כדי להדיר את בנו מנכסיו, ומוצא אותו דורש דברים חדשים שלא שמעה אוזן, "פָּנָיו מְאִירוֹת כְּאוֹר הַחַמָּה וְקַרְנוֹתָיו יוֹצְאוֹת כְּקַרְנוֹתָיו שֶׁל מֹשֶׁה"</w:t>
      </w:r>
      <w:r>
        <w:rPr>
          <w:rStyle w:val="FootnoteReference"/>
        </w:rPr>
        <w:footnoteReference w:id="15"/>
      </w:r>
      <w:r>
        <w:rPr>
          <w:rFonts w:ascii="David" w:cs="David" w:eastAsia="David" w:hAnsi="David"/>
          <w:sz w:val="24"/>
          <w:szCs w:val="24"/>
          <w:rtl/>
        </w:rPr>
        <w:t xml:space="preserve">. רבן יוחנן מנשקו על ראשו ומברך את האבות שיצא זה מחלציהם, והאב שבא לנשל עומד ומכריז שכל נכסיו נתונים לבנו זה. אליעזר מצדו מסרב לראות בנכסים תכלית.</w:t>
      </w:r>
    </w:p>
    <w:p>
      <w:pPr>
        <w:bidi/>
        <w:spacing w:after="60" w:before="120" w:line="360" w:lineRule="auto"/>
        <w:jc w:val="right"/>
      </w:pPr>
      <w:r>
        <w:rPr>
          <w:rFonts w:ascii="David" w:cs="David" w:eastAsia="David" w:hAnsi="David"/>
          <w:b/>
          <w:bCs/>
          <w:sz w:val="24"/>
          <w:szCs w:val="24"/>
          <w:rtl/>
        </w:rPr>
        <w:t xml:space="preserve">ב. מגמות ומאפיינים של תקופת חז"ל בקטע</w:t>
      </w:r>
    </w:p>
    <w:p>
      <w:pPr>
        <w:bidi/>
        <w:spacing w:after="120" w:line="360" w:lineRule="auto"/>
        <w:jc w:val="both"/>
      </w:pPr>
      <w:r>
        <w:rPr>
          <w:rFonts w:ascii="David" w:cs="David" w:eastAsia="David" w:hAnsi="David"/>
          <w:sz w:val="24"/>
          <w:szCs w:val="24"/>
          <w:rtl/>
        </w:rPr>
        <w:t xml:space="preserve">המגמה הראשונה היא הציר המרכזי שנלמד בקורס: המרכז עובר מבית המקדש אל בית המדרש, וממוקד הקדושה שבמקום אל האדם, כפי שהראה לורברבוים במאמר שנלמד</w:t>
      </w:r>
      <w:r>
        <w:rPr>
          <w:rStyle w:val="FootnoteReference"/>
        </w:rPr>
        <w:footnoteReference w:id="16"/>
      </w:r>
      <w:r>
        <w:rPr>
          <w:rFonts w:ascii="David" w:cs="David" w:eastAsia="David" w:hAnsi="David"/>
          <w:sz w:val="24"/>
          <w:szCs w:val="24"/>
          <w:rtl/>
        </w:rPr>
        <w:t xml:space="preserve">. גיבור הסיפור אינו כהן ואינו יורש אחוזה. הדרמה כולה מתרחשת בין שדה חרוש לבית מדרש, והקדושה מתגלה בלימודו של אדם אחד. הערכים המקודשים של העולם הישן, אדמה, ירושה וממון, מוצבים במפורש מול התורה ומוכרעים בסוף הסיפור: "לֹא בִּקַּשְׁתִּי מִלִּפְנֵי הַקָּדוֹשׁ בָּרוּךְ הוּא אֶלָּא תּוֹרָה בִּלְבַד"</w:t>
      </w:r>
      <w:r>
        <w:rPr>
          <w:rStyle w:val="FootnoteReference"/>
        </w:rPr>
        <w:footnoteReference w:id="17"/>
      </w:r>
      <w:r>
        <w:rPr>
          <w:rFonts w:ascii="David" w:cs="David" w:eastAsia="David" w:hAnsi="David"/>
          <w:sz w:val="24"/>
          <w:szCs w:val="24"/>
          <w:rtl/>
        </w:rPr>
        <w:t xml:space="preserve">.</w:t>
      </w:r>
    </w:p>
    <w:p>
      <w:pPr>
        <w:bidi/>
        <w:spacing w:after="120" w:line="360" w:lineRule="auto"/>
        <w:jc w:val="both"/>
      </w:pPr>
      <w:r>
        <w:rPr>
          <w:rFonts w:ascii="David" w:cs="David" w:eastAsia="David" w:hAnsi="David"/>
          <w:sz w:val="24"/>
          <w:szCs w:val="24"/>
          <w:rtl/>
        </w:rPr>
        <w:t xml:space="preserve">מגמה שנייה נלמדה ביחידה "מנביא לחכם": שינוי תפיסת ההנהגה ממלך, כהן ונביא אל תלמיד החכם</w:t>
      </w:r>
      <w:r>
        <w:rPr>
          <w:rStyle w:val="FootnoteReference"/>
        </w:rPr>
        <w:footnoteReference w:id="18"/>
      </w:r>
      <w:r>
        <w:rPr>
          <w:rFonts w:ascii="David" w:cs="David" w:eastAsia="David" w:hAnsi="David"/>
          <w:sz w:val="24"/>
          <w:szCs w:val="24"/>
          <w:rtl/>
        </w:rPr>
        <w:t xml:space="preserve">. תיאורו של אליעזר הדורש, שפניו מאירות וקרני הוד יוצאות ממנו כקרני ההוד של משה, שואל במכוון את דמות משה היורד מסיני, ומעמיד את הדרשן בבית המדרש כממשיכה של ההתגלות. החכם מחדש דברים שלא נשמעו מעולם, והחידוש הפרשני בא במקומה של הנבואה.</w:t>
      </w:r>
    </w:p>
    <w:p>
      <w:pPr>
        <w:bidi/>
        <w:spacing w:after="120" w:line="360" w:lineRule="auto"/>
        <w:jc w:val="both"/>
      </w:pPr>
      <w:r>
        <w:rPr>
          <w:rFonts w:ascii="David" w:cs="David" w:eastAsia="David" w:hAnsi="David"/>
          <w:b w:val="false"/>
          <w:bCs w:val="false"/>
          <w:sz w:val="24"/>
          <w:szCs w:val="24"/>
          <w:rtl/>
        </w:rPr>
        <w:t xml:space="preserve">ולצד אלה משתקף בקטע האתוס שלפיו מעמד של חכם נקנה בלימוד: הוא אינו עובר בירושה ואינו תלוי בגיל, בממון או בייחוס. אליעזר מתחיל מאפס בגיל עשרים ושתיים, בניגוד לרצון אביו העשיר, ומעמדו נבנה כולו בתוך המסגרת המכוננת של התקופה, בית המדרש ויחסי הרב והתלמיד: לימוד מדורג ושיטתי, רב הקשוב לתלמידו עד כדי הבחנה בריח פיו, וקרבה הנחתמת בנשיקה על הראש. הרב נעשה מעין אב.</w:t>
      </w:r>
    </w:p>
    <w:p>
      <w:pPr>
        <w:bidi/>
        <w:spacing w:after="60" w:before="120" w:line="360" w:lineRule="auto"/>
        <w:jc w:val="right"/>
      </w:pPr>
      <w:r>
        <w:rPr>
          <w:rFonts w:ascii="David" w:cs="David" w:eastAsia="David" w:hAnsi="David"/>
          <w:b/>
          <w:bCs/>
          <w:sz w:val="24"/>
          <w:szCs w:val="24"/>
          <w:rtl/>
        </w:rPr>
        <w:t xml:space="preserve">ג. הרחבה על דמות מן הקטע: רבי אליעזר בן הורקנוס</w:t>
      </w:r>
    </w:p>
    <w:p>
      <w:pPr>
        <w:bidi/>
        <w:spacing w:after="120" w:line="360" w:lineRule="auto"/>
        <w:jc w:val="both"/>
      </w:pPr>
      <w:r>
        <w:rPr>
          <w:rFonts w:ascii="David" w:cs="David" w:eastAsia="David" w:hAnsi="David"/>
          <w:sz w:val="24"/>
          <w:szCs w:val="24"/>
          <w:rtl/>
        </w:rPr>
        <w:t xml:space="preserve">את רבי אליעזר עצמו פגשנו במקורות נוספים במפגשים, והם מצטרפים לדיוקן עקבי. במשנה מונה רבן יוחנן בן זכאי את חמשת תלמידיו ומגדיר את שבחו של אליעזר: "בּוֹר סוּד שֶׁאֵינוֹ מְאַבֵּד טִפָּה"</w:t>
      </w:r>
      <w:r>
        <w:rPr>
          <w:rStyle w:val="FootnoteReference"/>
        </w:rPr>
        <w:footnoteReference w:id="19"/>
      </w:r>
      <w:r>
        <w:rPr>
          <w:rFonts w:ascii="David" w:cs="David" w:eastAsia="David" w:hAnsi="David"/>
          <w:sz w:val="24"/>
          <w:szCs w:val="24"/>
          <w:rtl/>
        </w:rPr>
        <w:t xml:space="preserve">. הדימוי מתכתב להפליא עם סיפור תחילתו. כשנדרש שם לדרוש לפני רבו, השיב אליעזר שהוא כבור שאינו יכול להוציא מים יותר משהוכנס לתוכו, וכך אין הוא יכול לומר דברי תורה יותר ממה שקיבל מרבו</w:t>
      </w:r>
      <w:r>
        <w:rPr>
          <w:rStyle w:val="FootnoteReference"/>
        </w:rPr>
        <w:footnoteReference w:id="20"/>
      </w:r>
      <w:r>
        <w:rPr>
          <w:rFonts w:ascii="David" w:cs="David" w:eastAsia="David" w:hAnsi="David"/>
          <w:sz w:val="24"/>
          <w:szCs w:val="24"/>
          <w:rtl/>
        </w:rPr>
        <w:t xml:space="preserve">. רבי אליעזר הוא איש המסורת בהתגלמותו, וכוחו בשימור מדוקדק של מה שקיבל. בהמשך אותו פרק, כשנשאלים התלמידים איזוהי דרך טובה שידבק בה האדם, תשובתו היא "עַיִן טוֹבָה"</w:t>
      </w:r>
      <w:r>
        <w:rPr>
          <w:rStyle w:val="FootnoteReference"/>
        </w:rPr>
        <w:footnoteReference w:id="21"/>
      </w:r>
      <w:r>
        <w:rPr>
          <w:rFonts w:ascii="David" w:cs="David" w:eastAsia="David" w:hAnsi="David"/>
          <w:sz w:val="24"/>
          <w:szCs w:val="24"/>
          <w:rtl/>
        </w:rPr>
        <w:t xml:space="preserve">.</w:t>
      </w:r>
    </w:p>
    <w:p>
      <w:pPr>
        <w:bidi/>
        <w:spacing w:after="120" w:line="360" w:lineRule="auto"/>
        <w:jc w:val="both"/>
      </w:pPr>
      <w:r>
        <w:rPr>
          <w:rFonts w:ascii="David" w:cs="David" w:eastAsia="David" w:hAnsi="David"/>
          <w:sz w:val="24"/>
          <w:szCs w:val="24"/>
          <w:rtl/>
        </w:rPr>
        <w:t xml:space="preserve">פן אחר, שנוי במחלוקת, נלמד במפגש על לימוד תורה לנשים. מול בן עזאי, הסבור שאדם חייב ללמד את בתו תורה, מציב רבי אליעזר את העמדה המחמירה: "כָּל הַמְלַמֵּד אֶת בִּתּוֹ תוֹרָה, כְּאִלּוּ מְלַמְּדָהּ תִּפְלוּת"</w:t>
      </w:r>
      <w:r>
        <w:rPr>
          <w:rStyle w:val="FootnoteReference"/>
        </w:rPr>
        <w:footnoteReference w:id="22"/>
      </w:r>
      <w:r>
        <w:rPr>
          <w:rFonts w:ascii="David" w:cs="David" w:eastAsia="David" w:hAnsi="David"/>
          <w:sz w:val="24"/>
          <w:szCs w:val="24"/>
          <w:rtl/>
        </w:rPr>
        <w:t xml:space="preserve">. הבבלי מטעים את דבריו בדרשתו של רבי אבהו, שהחוכמה מכניסה עם כניסתה גם ערמומית</w:t>
      </w:r>
      <w:r>
        <w:rPr>
          <w:rStyle w:val="FootnoteReference"/>
        </w:rPr>
        <w:footnoteReference w:id="23"/>
      </w:r>
      <w:r>
        <w:rPr>
          <w:rFonts w:ascii="David" w:cs="David" w:eastAsia="David" w:hAnsi="David"/>
          <w:sz w:val="24"/>
          <w:szCs w:val="24"/>
          <w:rtl/>
        </w:rPr>
        <w:t xml:space="preserve">. בעקבות דיונו של בויארין נלמדה המחלוקת הזאת כמאבק עקרוני על גבולות בית המדרש ועל השאלה מי שותף לתאוות הלימוד</w:t>
      </w:r>
      <w:r>
        <w:rPr>
          <w:rStyle w:val="FootnoteReference"/>
        </w:rPr>
        <w:footnoteReference w:id="24"/>
      </w:r>
      <w:r>
        <w:rPr>
          <w:rFonts w:ascii="David" w:cs="David" w:eastAsia="David" w:hAnsi="David"/>
          <w:sz w:val="24"/>
          <w:szCs w:val="24"/>
          <w:rtl/>
        </w:rPr>
        <w:t xml:space="preserve">. וכאן מתחדד פרדוקס בדמותו: האיש שפרץ בעצמו כל גבול כדי להיכנס לבית המדרש, בגיל מאוחר, נגד אביו וכנגד כל הסיכויים, הוא הנועל את שעריו בפני נשים. שומר הסף של המסורת מבקש לשמור גם על גבולותיה החברתיים. ראוי להוסיף כי בסיפור תחילתו של רבי עקיבא, שנלמד באותו דף חברותא, יושב רבי עקיבא שנים לפני רבי אליעזר ולומד מפיו: הבור הסוד נעשה בעצמו רבו של גדול הדרשנים.</w:t>
      </w:r>
    </w:p>
    <w:p>
      <w:r>
        <w:br w:type="page"/>
      </w:r>
    </w:p>
    <w:p>
      <w:pPr>
        <w:bidi/>
        <w:spacing w:after="120" w:before="240" w:line="360" w:lineRule="auto"/>
        <w:jc w:val="right"/>
      </w:pPr>
      <w:r>
        <w:rPr>
          <w:rFonts w:ascii="David" w:cs="David" w:eastAsia="David" w:hAnsi="David"/>
          <w:b/>
          <w:bCs/>
          <w:sz w:val="28"/>
          <w:szCs w:val="28"/>
          <w:rtl/>
        </w:rPr>
        <w:t xml:space="preserve">רשימת מקורות</w:t>
      </w:r>
    </w:p>
    <w:p>
      <w:pPr>
        <w:bidi/>
        <w:spacing w:after="120" w:line="360" w:lineRule="auto"/>
        <w:jc w:val="right"/>
      </w:pPr>
      <w:r>
        <w:rPr>
          <w:rFonts w:ascii="David" w:cs="David" w:eastAsia="David" w:hAnsi="David"/>
          <w:b w:val="false"/>
          <w:bCs w:val="false"/>
          <w:sz w:val="24"/>
          <w:szCs w:val="24"/>
          <w:rtl/>
        </w:rPr>
        <w:t xml:space="preserve">בויארין, דניאל, "תאוות הלימוד: התורה כאישה אחרת", בתוך: הבשר שברוח: שיח המיניות בתלמוד, תל אביב: עם עובד, תשנ"ט, עמ' 170-183.</w:t>
      </w:r>
    </w:p>
    <w:p>
      <w:pPr>
        <w:bidi/>
        <w:spacing w:after="120" w:line="360" w:lineRule="auto"/>
        <w:jc w:val="right"/>
      </w:pPr>
      <w:r>
        <w:rPr>
          <w:rFonts w:ascii="David" w:cs="David" w:eastAsia="David" w:hAnsi="David"/>
          <w:b w:val="false"/>
          <w:bCs w:val="false"/>
          <w:sz w:val="24"/>
          <w:szCs w:val="24"/>
          <w:rtl/>
        </w:rPr>
        <w:t xml:space="preserve">הלברטל, משה, "מבוא למשנה", שישה סדרי משנה, סדרת עם הספר, תל אביב: ידיעות אחרונות.</w:t>
      </w:r>
    </w:p>
    <w:p>
      <w:pPr>
        <w:bidi/>
        <w:spacing w:after="120" w:line="360" w:lineRule="auto"/>
        <w:jc w:val="right"/>
      </w:pPr>
      <w:r>
        <w:rPr>
          <w:rFonts w:ascii="David" w:cs="David" w:eastAsia="David" w:hAnsi="David"/>
          <w:b w:val="false"/>
          <w:bCs w:val="false"/>
          <w:sz w:val="24"/>
          <w:szCs w:val="24"/>
          <w:rtl/>
        </w:rPr>
        <w:t xml:space="preserve">לורברבוים, יאיר, "ממקדש לאדם: תמורות במוקד הקדושה בספרות חז"ל", דעת: כתב עת לפילוסופיה יהודית וקבלה 86 (תשע"ט), עמ' 377-396.</w:t>
      </w:r>
    </w:p>
    <w:p>
      <w:pPr>
        <w:bidi/>
        <w:spacing w:after="120" w:line="360" w:lineRule="auto"/>
        <w:jc w:val="right"/>
      </w:pPr>
      <w:r>
        <w:rPr>
          <w:rFonts w:ascii="David" w:cs="David" w:eastAsia="David" w:hAnsi="David"/>
          <w:b w:val="false"/>
          <w:bCs w:val="false"/>
          <w:sz w:val="24"/>
          <w:szCs w:val="24"/>
          <w:rtl/>
        </w:rPr>
        <w:t xml:space="preserve">מרקס, דליה, "רבן יוחנן בן זכאי והקמת יבנה: ניתוח והערכת הסיפור בראי הזמן".</w:t>
      </w:r>
    </w:p>
    <w:p>
      <w:pPr>
        <w:bidi/>
        <w:spacing w:after="120" w:line="360" w:lineRule="auto"/>
        <w:jc w:val="right"/>
      </w:pPr>
      <w:r>
        <w:rPr>
          <w:rFonts w:ascii="David" w:cs="David" w:eastAsia="David" w:hAnsi="David"/>
          <w:b w:val="false"/>
          <w:bCs w:val="false"/>
          <w:sz w:val="24"/>
          <w:szCs w:val="24"/>
          <w:rtl/>
        </w:rPr>
        <w:t xml:space="preserve">דפי המקורות, דפי החברותא והמצגות מאתר הקורס: מפגש 1 (עגלה ערופה), שיעורים 3-5 ("נביא וחכם", משנה ותוספתא, דף חברותא "מאפייני המשנה"), היחידה "צמיחה מתוך משבר" (ריב"ז והיציאה מירושלים), דף חברותא "איך נעשים חכמ.ה", דף מקורות מפגש 11 (לימוד תורה לנשים).</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right"/>
      </w:pPr>
      <w:r>
        <w:rPr>
          <w:rStyle w:val="FootnoteReference"/>
        </w:rPr>
        <w:footnoteRef/>
      </w:r>
      <w:r>
        <w:rPr>
          <w:rFonts w:ascii="David" w:cs="David" w:eastAsia="David" w:hAnsi="David"/>
          <w:sz w:val="20"/>
          <w:szCs w:val="20"/>
          <w:rtl/>
        </w:rPr>
        <w:t xml:space="preserve"> משנה, מסכת סוטה, פרק ט, משנה ו.</w:t>
      </w:r>
    </w:p>
  </w:footnote>
  <w:footnote w:id="2">
    <w:p>
      <w:pPr>
        <w:bidi/>
        <w:jc w:val="right"/>
      </w:pPr>
      <w:r>
        <w:rPr>
          <w:rStyle w:val="FootnoteReference"/>
        </w:rPr>
        <w:footnoteRef/>
      </w:r>
      <w:r>
        <w:rPr>
          <w:rFonts w:ascii="David" w:cs="David" w:eastAsia="David" w:hAnsi="David"/>
          <w:sz w:val="20"/>
          <w:szCs w:val="20"/>
          <w:rtl/>
        </w:rPr>
        <w:t xml:space="preserve"> תלמוד בבלי, מסכת סוטה, דף מו ע"ב, בשם רבי יוחנן משום רבי מאיר.</w:t>
      </w:r>
    </w:p>
  </w:footnote>
  <w:footnote w:id="3">
    <w:p>
      <w:pPr>
        <w:bidi/>
        <w:jc w:val="right"/>
      </w:pPr>
      <w:r>
        <w:rPr>
          <w:rStyle w:val="FootnoteReference"/>
        </w:rPr>
        <w:footnoteRef/>
      </w:r>
      <w:r>
        <w:rPr>
          <w:rFonts w:ascii="David" w:cs="David" w:eastAsia="David" w:hAnsi="David"/>
          <w:sz w:val="20"/>
          <w:szCs w:val="20"/>
          <w:rtl/>
        </w:rPr>
        <w:t xml:space="preserve"> דף המקורות למפגש 1, "עגלה ערופה: התנועה של חז"ל מהמקרא אל המשנה ואל התלמוד", אתר הקורס.</w:t>
      </w:r>
    </w:p>
  </w:footnote>
  <w:footnote w:id="4">
    <w:p>
      <w:pPr>
        <w:bidi/>
        <w:jc w:val="right"/>
      </w:pPr>
      <w:r>
        <w:rPr>
          <w:rStyle w:val="FootnoteReference"/>
        </w:rPr>
        <w:footnoteRef/>
      </w:r>
      <w:r>
        <w:rPr>
          <w:rFonts w:ascii="David" w:cs="David" w:eastAsia="David" w:hAnsi="David"/>
          <w:sz w:val="20"/>
          <w:szCs w:val="20"/>
          <w:rtl/>
        </w:rPr>
        <w:t xml:space="preserve"> משה הלברטל, "מבוא למשנה", שישה סדרי משנה, סדרת עם הספר, ידיעות אחרונות; מצגת הקורס "נביא וחכם: משנה ותוספתא" (שיעורים 3-5).</w:t>
      </w:r>
    </w:p>
  </w:footnote>
  <w:footnote w:id="5">
    <w:p>
      <w:pPr>
        <w:bidi/>
        <w:jc w:val="right"/>
      </w:pPr>
      <w:r>
        <w:rPr>
          <w:rStyle w:val="FootnoteReference"/>
        </w:rPr>
        <w:footnoteRef/>
      </w:r>
      <w:r>
        <w:rPr>
          <w:rFonts w:ascii="David" w:cs="David" w:eastAsia="David" w:hAnsi="David"/>
          <w:sz w:val="20"/>
          <w:szCs w:val="20"/>
          <w:rtl/>
        </w:rPr>
        <w:t xml:space="preserve"> מצגת הקורס "נביא וחכם: משנה ותוספתא" (שיעורים 3-5), אתר הקורס.</w:t>
      </w:r>
    </w:p>
  </w:footnote>
  <w:footnote w:id="6">
    <w:p>
      <w:pPr>
        <w:bidi/>
        <w:jc w:val="right"/>
      </w:pPr>
      <w:r>
        <w:rPr>
          <w:rStyle w:val="FootnoteReference"/>
        </w:rPr>
        <w:footnoteRef/>
      </w:r>
      <w:r>
        <w:rPr>
          <w:rFonts w:ascii="David" w:cs="David" w:eastAsia="David" w:hAnsi="David"/>
          <w:sz w:val="20"/>
          <w:szCs w:val="20"/>
          <w:rtl/>
        </w:rPr>
        <w:t xml:space="preserve"> מצגת הקורס "נביא וחכם: משנה ותוספתא" (שיעורים 3-5), אתר הקורס.</w:t>
      </w:r>
    </w:p>
  </w:footnote>
  <w:footnote w:id="7">
    <w:p>
      <w:pPr>
        <w:bidi/>
        <w:jc w:val="right"/>
      </w:pPr>
      <w:r>
        <w:rPr>
          <w:rStyle w:val="FootnoteReference"/>
        </w:rPr>
        <w:footnoteRef/>
      </w:r>
      <w:r>
        <w:rPr>
          <w:rFonts w:ascii="David" w:cs="David" w:eastAsia="David" w:hAnsi="David"/>
          <w:sz w:val="20"/>
          <w:szCs w:val="20"/>
          <w:rtl/>
        </w:rPr>
        <w:t xml:space="preserve"> משנה, מסכת סוכה, פרק א, משנה א; מצוטט בדף החברותא "מאפייני המשנה", אתר הקורס.</w:t>
      </w:r>
    </w:p>
  </w:footnote>
  <w:footnote w:id="8">
    <w:p>
      <w:pPr>
        <w:bidi/>
        <w:jc w:val="right"/>
      </w:pPr>
      <w:r>
        <w:rPr>
          <w:rStyle w:val="FootnoteReference"/>
        </w:rPr>
        <w:footnoteRef/>
      </w:r>
      <w:r>
        <w:rPr>
          <w:rFonts w:ascii="David" w:cs="David" w:eastAsia="David" w:hAnsi="David"/>
          <w:sz w:val="20"/>
          <w:szCs w:val="20"/>
          <w:rtl/>
        </w:rPr>
        <w:t xml:space="preserve"> תלמוד בבלי, מסכת גיטין, דף נו ע"א-ע"ב; התרגום על פי דף החברותא "ריב"ז, הבריונים והיציאה מירושלים ליבנה", אתר הקורס.</w:t>
      </w:r>
    </w:p>
  </w:footnote>
  <w:footnote w:id="9">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0">
    <w:p>
      <w:pPr>
        <w:bidi/>
        <w:jc w:val="right"/>
      </w:pPr>
      <w:r>
        <w:rPr>
          <w:rStyle w:val="FootnoteReference"/>
        </w:rPr>
        <w:footnoteRef/>
      </w:r>
      <w:r>
        <w:rPr>
          <w:rFonts w:ascii="David" w:cs="David" w:eastAsia="David" w:hAnsi="David"/>
          <w:sz w:val="20"/>
          <w:szCs w:val="20"/>
          <w:rtl/>
        </w:rPr>
        <w:t xml:space="preserve"> דליה מרקס, "רבן יוחנן בן זכאי והקמת יבנה: ניתוח והערכת הסיפור בראי הזמן", מתוך חומרי הקריאה של הקורס.</w:t>
      </w:r>
    </w:p>
  </w:footnote>
  <w:footnote w:id="11">
    <w:p>
      <w:pPr>
        <w:bidi/>
        <w:jc w:val="right"/>
      </w:pPr>
      <w:r>
        <w:rPr>
          <w:rStyle w:val="FootnoteReference"/>
        </w:rPr>
        <w:footnoteRef/>
      </w:r>
      <w:r>
        <w:rPr>
          <w:rFonts w:ascii="David" w:cs="David" w:eastAsia="David" w:hAnsi="David"/>
          <w:sz w:val="20"/>
          <w:szCs w:val="20"/>
          <w:rtl/>
        </w:rPr>
        <w:t xml:space="preserve"> ג'ונתן רוזן, התלמוד והאינטרנט, כפי שמצוטט אצל מרקס, שם.</w:t>
      </w:r>
    </w:p>
  </w:footnote>
  <w:footnote w:id="12">
    <w:p>
      <w:pPr>
        <w:bidi/>
        <w:jc w:val="right"/>
      </w:pPr>
      <w:r>
        <w:rPr>
          <w:rStyle w:val="FootnoteReference"/>
        </w:rPr>
        <w:footnoteRef/>
      </w:r>
      <w:r>
        <w:rPr>
          <w:rFonts w:ascii="David" w:cs="David" w:eastAsia="David" w:hAnsi="David"/>
          <w:sz w:val="20"/>
          <w:szCs w:val="20"/>
          <w:rtl/>
        </w:rPr>
        <w:t xml:space="preserve"> אדיאל שרמר, כפי שמצוטט אצל מרקס, שם.</w:t>
      </w:r>
    </w:p>
  </w:footnote>
  <w:footnote w:id="13">
    <w:p>
      <w:pPr>
        <w:bidi/>
        <w:jc w:val="right"/>
      </w:pPr>
      <w:r>
        <w:rPr>
          <w:rStyle w:val="FootnoteReference"/>
        </w:rPr>
        <w:footnoteRef/>
      </w:r>
      <w:r>
        <w:rPr>
          <w:rFonts w:ascii="David" w:cs="David" w:eastAsia="David" w:hAnsi="David"/>
          <w:sz w:val="20"/>
          <w:szCs w:val="20"/>
          <w:rtl/>
        </w:rPr>
        <w:t xml:space="preserve"> מרקס, "רבן יוחנן בן זכאי והקמת יבנה", שם.</w:t>
      </w:r>
    </w:p>
  </w:footnote>
  <w:footnote w:id="14">
    <w:p>
      <w:pPr>
        <w:bidi/>
        <w:jc w:val="right"/>
      </w:pPr>
      <w:r>
        <w:rPr>
          <w:rStyle w:val="FootnoteReference"/>
        </w:rPr>
        <w:footnoteRef/>
      </w:r>
      <w:r>
        <w:rPr>
          <w:rFonts w:ascii="David" w:cs="David" w:eastAsia="David" w:hAnsi="David"/>
          <w:sz w:val="20"/>
          <w:szCs w:val="20"/>
          <w:rtl/>
        </w:rPr>
        <w:t xml:space="preserve"> מדרש פרקי דרבי אליעזר, פרקים א-ב, ומקבילות באבות דרבי נתן נוסח א, בראשית רבה מב, א ותנחומא בובר לך לך, י; על פי דף החברותא "איך נעשים חכמ.ה", אתר הקורס.</w:t>
      </w:r>
    </w:p>
  </w:footnote>
  <w:footnote w:id="15">
    <w:p>
      <w:pPr>
        <w:bidi/>
        <w:jc w:val="right"/>
      </w:pPr>
      <w:r>
        <w:rPr>
          <w:rStyle w:val="FootnoteReference"/>
        </w:rPr>
        <w:footnoteRef/>
      </w:r>
      <w:r>
        <w:rPr>
          <w:rFonts w:ascii="David" w:cs="David" w:eastAsia="David" w:hAnsi="David"/>
          <w:sz w:val="20"/>
          <w:szCs w:val="20"/>
          <w:rtl/>
        </w:rPr>
        <w:t xml:space="preserve"> שם, על פי נוסח דף החברותא.</w:t>
      </w:r>
    </w:p>
  </w:footnote>
  <w:footnote w:id="16">
    <w:p>
      <w:pPr>
        <w:bidi/>
        <w:jc w:val="right"/>
      </w:pPr>
      <w:r>
        <w:rPr>
          <w:rStyle w:val="FootnoteReference"/>
        </w:rPr>
        <w:footnoteRef/>
      </w:r>
      <w:r>
        <w:rPr>
          <w:rFonts w:ascii="David" w:cs="David" w:eastAsia="David" w:hAnsi="David"/>
          <w:sz w:val="20"/>
          <w:szCs w:val="20"/>
          <w:rtl/>
        </w:rPr>
        <w:t xml:space="preserve"> יאיר לורברבוים, "ממקדש לאדם: תמורות במוקד הקדושה בספרות חז"ל", דעת 86 (תשע"ט), עמ' 377-396.</w:t>
      </w:r>
    </w:p>
  </w:footnote>
  <w:footnote w:id="17">
    <w:p>
      <w:pPr>
        <w:bidi/>
        <w:jc w:val="right"/>
      </w:pPr>
      <w:r>
        <w:rPr>
          <w:rStyle w:val="FootnoteReference"/>
        </w:rPr>
        <w:footnoteRef/>
      </w:r>
      <w:r>
        <w:rPr>
          <w:rFonts w:ascii="David" w:cs="David" w:eastAsia="David" w:hAnsi="David"/>
          <w:sz w:val="20"/>
          <w:szCs w:val="20"/>
          <w:rtl/>
        </w:rPr>
        <w:t xml:space="preserve"> שם, דברי רבי אליעזר בסיום הסיפור.</w:t>
      </w:r>
    </w:p>
  </w:footnote>
  <w:footnote w:id="18">
    <w:p>
      <w:pPr>
        <w:bidi/>
        <w:jc w:val="right"/>
      </w:pPr>
      <w:r>
        <w:rPr>
          <w:rStyle w:val="FootnoteReference"/>
        </w:rPr>
        <w:footnoteRef/>
      </w:r>
      <w:r>
        <w:rPr>
          <w:rFonts w:ascii="David" w:cs="David" w:eastAsia="David" w:hAnsi="David"/>
          <w:sz w:val="20"/>
          <w:szCs w:val="20"/>
          <w:rtl/>
        </w:rPr>
        <w:t xml:space="preserve"> מצגת הקורס "נביא וחכם" (שיעורים 3-5), אתר הקורס.</w:t>
      </w:r>
    </w:p>
  </w:footnote>
  <w:footnote w:id="19">
    <w:p>
      <w:pPr>
        <w:bidi/>
        <w:jc w:val="right"/>
      </w:pPr>
      <w:r>
        <w:rPr>
          <w:rStyle w:val="FootnoteReference"/>
        </w:rPr>
        <w:footnoteRef/>
      </w:r>
      <w:r>
        <w:rPr>
          <w:rFonts w:ascii="David" w:cs="David" w:eastAsia="David" w:hAnsi="David"/>
          <w:sz w:val="20"/>
          <w:szCs w:val="20"/>
          <w:rtl/>
        </w:rPr>
        <w:t xml:space="preserve"> משנה, מסכת אבות, פרק ב, משנה ח; נלמדה ביחידה "צמיחה מתוך משבר".</w:t>
      </w:r>
    </w:p>
  </w:footnote>
  <w:footnote w:id="20">
    <w:p>
      <w:pPr>
        <w:bidi/>
        <w:jc w:val="right"/>
      </w:pPr>
      <w:r>
        <w:rPr>
          <w:rStyle w:val="FootnoteReference"/>
        </w:rPr>
        <w:footnoteRef/>
      </w:r>
      <w:r>
        <w:rPr>
          <w:rFonts w:ascii="David" w:cs="David" w:eastAsia="David" w:hAnsi="David"/>
          <w:sz w:val="20"/>
          <w:szCs w:val="20"/>
          <w:rtl/>
        </w:rPr>
        <w:t xml:space="preserve"> דף החברותא "איך נעשים חכמ.ה", שם.</w:t>
      </w:r>
    </w:p>
  </w:footnote>
  <w:footnote w:id="21">
    <w:p>
      <w:pPr>
        <w:bidi/>
        <w:jc w:val="right"/>
      </w:pPr>
      <w:r>
        <w:rPr>
          <w:rStyle w:val="FootnoteReference"/>
        </w:rPr>
        <w:footnoteRef/>
      </w:r>
      <w:r>
        <w:rPr>
          <w:rFonts w:ascii="David" w:cs="David" w:eastAsia="David" w:hAnsi="David"/>
          <w:sz w:val="20"/>
          <w:szCs w:val="20"/>
          <w:rtl/>
        </w:rPr>
        <w:t xml:space="preserve"> משנה, מסכת אבות, פרק ב, משנה ט.</w:t>
      </w:r>
    </w:p>
  </w:footnote>
  <w:footnote w:id="22">
    <w:p>
      <w:pPr>
        <w:bidi/>
        <w:jc w:val="right"/>
      </w:pPr>
      <w:r>
        <w:rPr>
          <w:rStyle w:val="FootnoteReference"/>
        </w:rPr>
        <w:footnoteRef/>
      </w:r>
      <w:r>
        <w:rPr>
          <w:rFonts w:ascii="David" w:cs="David" w:eastAsia="David" w:hAnsi="David"/>
          <w:sz w:val="20"/>
          <w:szCs w:val="20"/>
          <w:rtl/>
        </w:rPr>
        <w:t xml:space="preserve"> משנה, מסכת סוטה, פרק ג, משנה ד.</w:t>
      </w:r>
    </w:p>
  </w:footnote>
  <w:footnote w:id="23">
    <w:p>
      <w:pPr>
        <w:bidi/>
        <w:jc w:val="right"/>
      </w:pPr>
      <w:r>
        <w:rPr>
          <w:rStyle w:val="FootnoteReference"/>
        </w:rPr>
        <w:footnoteRef/>
      </w:r>
      <w:r>
        <w:rPr>
          <w:rFonts w:ascii="David" w:cs="David" w:eastAsia="David" w:hAnsi="David"/>
          <w:sz w:val="20"/>
          <w:szCs w:val="20"/>
          <w:rtl/>
        </w:rPr>
        <w:t xml:space="preserve"> תלמוד בבלי, מסכת סוטה, דף כא ע"ב.</w:t>
      </w:r>
    </w:p>
  </w:footnote>
  <w:footnote w:id="24">
    <w:p>
      <w:pPr>
        <w:bidi/>
        <w:jc w:val="right"/>
      </w:pPr>
      <w:r>
        <w:rPr>
          <w:rStyle w:val="FootnoteReference"/>
        </w:rPr>
        <w:footnoteRef/>
      </w:r>
      <w:r>
        <w:rPr>
          <w:rFonts w:ascii="David" w:cs="David" w:eastAsia="David" w:hAnsi="David"/>
          <w:sz w:val="20"/>
          <w:szCs w:val="20"/>
          <w:rtl/>
        </w:rPr>
        <w:t xml:space="preserve"> דניאל בויארין, "תאוות הלימוד: התורה כאישה אחרת", הבשר שברוח: שיח המיניות בתלמוד, עם עובד, תשנ"ט, עמ' 170-183.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2026-07-30T12:07:22.000Z</dcterms:created>
  <dcterms:modified xsi:type="dcterms:W3CDTF">2026-07-30T12:07:22.001Z</dcterms:modified>
</cp:coreProperties>
</file>

<file path=docProps/custom.xml><?xml version="1.0" encoding="utf-8"?>
<Properties xmlns="http://schemas.openxmlformats.org/officeDocument/2006/custom-properties" xmlns:vt="http://schemas.openxmlformats.org/officeDocument/2006/docPropsVTypes"/>
</file>