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bCs/>
          <w:i w:val="false"/>
          <w:iCs w:val="false"/>
          <w:sz w:val="32"/>
          <w:szCs w:val="32"/>
          <w:rtl/>
        </w:rPr>
        <w:t xml:space="preserve">התוכנית למדעי היהדות</w:t>
      </w:r>
    </w:p>
    <w:p>
      <w:pPr>
        <w:bidi/>
        <w:spacing w:after="120" w:line="360" w:lineRule="auto"/>
        <w:jc w:val="center"/>
      </w:pPr>
      <w:r>
        <w:rPr>
          <w:rFonts w:ascii="David" w:cs="David" w:eastAsia="David" w:hAnsi="David"/>
          <w:b w:val="false"/>
          <w:bCs w:val="false"/>
          <w:i w:val="false"/>
          <w:iCs w:val="false"/>
          <w:sz w:val="28"/>
          <w:szCs w:val="28"/>
          <w:rtl/>
        </w:rPr>
        <w:t xml:space="preserve">לימודים לתואר מוסמך</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8"/>
          <w:szCs w:val="28"/>
          <w:rtl/>
        </w:rPr>
        <w:t xml:space="preserve">עבודת סיום קורס:</w:t>
      </w:r>
    </w:p>
    <w:p>
      <w:pPr>
        <w:bidi/>
        <w:spacing w:after="120" w:line="360" w:lineRule="auto"/>
        <w:jc w:val="center"/>
      </w:pPr>
      <w:r>
        <w:rPr>
          <w:rFonts w:ascii="David" w:cs="David" w:eastAsia="David" w:hAnsi="David"/>
          <w:b/>
          <w:bCs/>
          <w:i w:val="false"/>
          <w:iCs w:val="false"/>
          <w:sz w:val="36"/>
          <w:szCs w:val="36"/>
          <w:rtl/>
        </w:rPr>
        <w:t xml:space="preserve">אדם, ספרות ומעשה בימי חז"ל</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6"/>
          <w:szCs w:val="26"/>
          <w:rtl/>
        </w:rPr>
        <w:t xml:space="preserve">סמסטר ב תשפ"ו</w:t>
      </w:r>
    </w:p>
    <w:p>
      <w:pPr>
        <w:bidi/>
        <w:spacing w:after="120" w:line="360" w:lineRule="auto"/>
        <w:jc w:val="center"/>
      </w:pPr>
      <w:r>
        <w:rPr>
          <w:rFonts w:ascii="David" w:cs="David" w:eastAsia="David" w:hAnsi="David"/>
          <w:b w:val="false"/>
          <w:bCs w:val="false"/>
          <w:i w:val="false"/>
          <w:iCs w:val="false"/>
          <w:sz w:val="26"/>
          <w:szCs w:val="26"/>
          <w:rtl/>
        </w:rPr>
        <w:t xml:space="preserve">שם המרצה: הרב חגית סבאג ישראל</w:t>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right"/>
      </w:pPr>
      <w:r>
        <w:rPr>
          <w:rFonts w:ascii="David" w:cs="David" w:eastAsia="David" w:hAnsi="David"/>
          <w:b w:val="false"/>
          <w:bCs w:val="false"/>
          <w:i w:val="false"/>
          <w:iCs w:val="false"/>
          <w:sz w:val="24"/>
          <w:szCs w:val="24"/>
          <w:rtl/>
        </w:rPr>
        <w:t xml:space="preserve"/>
      </w:r>
    </w:p>
    <w:p>
      <w:pPr>
        <w:bidi/>
        <w:spacing w:after="120" w:line="360" w:lineRule="auto"/>
        <w:jc w:val="center"/>
      </w:pPr>
      <w:r>
        <w:rPr>
          <w:rFonts w:ascii="David" w:cs="David" w:eastAsia="David" w:hAnsi="David"/>
          <w:b w:val="false"/>
          <w:bCs w:val="false"/>
          <w:i w:val="false"/>
          <w:iCs w:val="false"/>
          <w:sz w:val="26"/>
          <w:szCs w:val="26"/>
          <w:rtl/>
        </w:rPr>
        <w:t xml:space="preserve">שם הסטודנט/ית: ____________________</w:t>
      </w:r>
    </w:p>
    <w:p>
      <w:pPr>
        <w:bidi/>
        <w:spacing w:after="120" w:line="360" w:lineRule="auto"/>
        <w:jc w:val="center"/>
      </w:pPr>
      <w:r>
        <w:rPr>
          <w:rFonts w:ascii="David" w:cs="David" w:eastAsia="David" w:hAnsi="David"/>
          <w:b w:val="false"/>
          <w:bCs w:val="false"/>
          <w:i w:val="false"/>
          <w:iCs w:val="false"/>
          <w:sz w:val="26"/>
          <w:szCs w:val="26"/>
          <w:rtl/>
        </w:rPr>
        <w:t xml:space="preserve">ת"ז: ____________________</w:t>
      </w:r>
    </w:p>
    <w:p>
      <w:r>
        <w:br w:type="page"/>
      </w:r>
    </w:p>
    <w:p>
      <w:pPr>
        <w:bidi/>
        <w:spacing w:after="120" w:before="240" w:line="360" w:lineRule="auto"/>
        <w:jc w:val="right"/>
      </w:pPr>
      <w:r>
        <w:rPr>
          <w:rFonts w:ascii="David" w:cs="David" w:eastAsia="David" w:hAnsi="David"/>
          <w:b/>
          <w:bCs/>
          <w:i w:val="false"/>
          <w:iCs w:val="false"/>
          <w:sz w:val="28"/>
          <w:szCs w:val="28"/>
          <w:rtl/>
        </w:rPr>
        <w:t xml:space="preserve">שאלה 1: מקור טקסטואלי לדברים בפני קבוצה</w:t>
      </w:r>
    </w:p>
    <w:p>
      <w:pPr>
        <w:bidi/>
        <w:spacing w:after="60" w:before="120" w:line="360" w:lineRule="auto"/>
        <w:jc w:val="right"/>
      </w:pPr>
      <w:r>
        <w:rPr>
          <w:rFonts w:ascii="David" w:cs="David" w:eastAsia="David" w:hAnsi="David"/>
          <w:b/>
          <w:bCs/>
          <w:i w:val="false"/>
          <w:iCs w:val="false"/>
          <w:sz w:val="24"/>
          <w:szCs w:val="24"/>
          <w:rtl/>
        </w:rPr>
        <w:t xml:space="preserve">א. הטקסט הנבחר</w:t>
      </w:r>
    </w:p>
    <w:p>
      <w:pPr>
        <w:bidi/>
        <w:spacing w:after="120" w:line="360" w:lineRule="auto"/>
        <w:jc w:val="both"/>
      </w:pPr>
      <w:r>
        <w:rPr>
          <w:rFonts w:ascii="David" w:cs="David" w:eastAsia="David" w:hAnsi="David"/>
          <w:b w:val="false"/>
          <w:bCs w:val="false"/>
          <w:i w:val="false"/>
          <w:iCs w:val="false"/>
          <w:sz w:val="24"/>
          <w:szCs w:val="24"/>
          <w:rtl/>
        </w:rPr>
        <w:t xml:space="preserve">נבחרתי לשאת דברים בפתיחת שנת פעילות של צוות שאני שותף בהובלתו, ובחרתי לבסס את דבריי על סוגיית עגלה ערופה שנלמדה במפגש הראשון – ובמרכזה משנה, מסכת סוטה פרק ט, משנה ו, והרחבתה בתלמוד הבבלי, סוטה דף מו ע"ב:</w:t>
      </w:r>
    </w:p>
    <w:p>
      <w:pPr>
        <w:bidi/>
        <w:spacing w:after="120" w:line="360" w:lineRule="auto"/>
        <w:ind w:left="567" w:right="567"/>
        <w:jc w:val="both"/>
      </w:pPr>
      <w:r>
        <w:rPr>
          <w:rFonts w:ascii="David" w:cs="David" w:eastAsia="David" w:hAnsi="David"/>
          <w:i/>
          <w:iCs/>
          <w:sz w:val="24"/>
          <w:szCs w:val="24"/>
          <w:rtl/>
        </w:rPr>
        <w:t xml:space="preserve">"זקני אותה העיר רוחצין את ידיהן במים במקום עריפה של עגלה, ואומרים: ידינו לא שפכה את הדם הזה ועינינו לא ראו. וכי על דעתנו עלתה, שזקני בית דין שופכי דמים הן?! אלא: שלא בא לידינו ופטרנוהו בלא מזון, ולא ראינוהו והנחנוהו בלא לויה."</w:t>
      </w:r>
    </w:p>
    <w:p>
      <w:pPr>
        <w:bidi/>
        <w:spacing w:after="120" w:line="360" w:lineRule="auto"/>
        <w:jc w:val="both"/>
      </w:pPr>
      <w:r>
        <w:rPr>
          <w:rFonts w:ascii="David" w:cs="David" w:eastAsia="David" w:hAnsi="David"/>
          <w:b w:val="false"/>
          <w:bCs w:val="false"/>
          <w:i w:val="false"/>
          <w:iCs w:val="false"/>
          <w:sz w:val="24"/>
          <w:szCs w:val="24"/>
          <w:rtl/>
        </w:rPr>
        <w:t xml:space="preserve">המשנה מפרשת את הטקס המקראי שבדברים כא: כאשר נמצא חלל בשדה ולא נודע מי הכהו, יוצאים זקני העיר הקרובה, עורפים עגלה בנחל ומצהירים "ידינו לא שפכו את הדם הזה". המשנה שואלת את השאלה המתבקשת – וכי מישהו חשד בזקני בית הדין שהם רצחו? – ותשובתה מפליגה: ההצהרה אינה על הרצח אלא על המחדל. הזקנים מעידים שהאיש לא יצא מעירם רעב ובלא ליווי. התלמוד מרחיב את הרעיון ומעמיד את הליווי כערך מכונן: "אמר רבי יוחנן משום רבי מאיר: כל שאינו מלוה ומתלוה – כאילו שופך דמים", ולצדו: "כל המלוה את חברו ארבע אמות בעיר – אינו ניזוק".</w:t>
      </w:r>
    </w:p>
    <w:p>
      <w:pPr>
        <w:bidi/>
        <w:spacing w:after="60" w:before="120" w:line="360" w:lineRule="auto"/>
        <w:jc w:val="right"/>
      </w:pPr>
      <w:r>
        <w:rPr>
          <w:rFonts w:ascii="David" w:cs="David" w:eastAsia="David" w:hAnsi="David"/>
          <w:b/>
          <w:bCs/>
          <w:i w:val="false"/>
          <w:iCs w:val="false"/>
          <w:sz w:val="24"/>
          <w:szCs w:val="24"/>
          <w:rtl/>
        </w:rPr>
        <w:t xml:space="preserve">ב. תיאור הטקסט</w:t>
      </w:r>
    </w:p>
    <w:p>
      <w:pPr>
        <w:bidi/>
        <w:spacing w:after="120" w:line="360" w:lineRule="auto"/>
        <w:jc w:val="both"/>
      </w:pPr>
      <w:r>
        <w:rPr>
          <w:rFonts w:ascii="David" w:cs="David" w:eastAsia="David" w:hAnsi="David"/>
          <w:b w:val="false"/>
          <w:bCs w:val="false"/>
          <w:i w:val="false"/>
          <w:iCs w:val="false"/>
          <w:sz w:val="24"/>
          <w:szCs w:val="24"/>
          <w:rtl/>
        </w:rPr>
        <w:t xml:space="preserve">מקור הטקסט במשנה, מסכת סוטה, בפרק העוסק בטקסים שבטלו, והרחבתו בסוגיית הבבלי שם. הדמויות המרכזיות הן זקני העיר והכוהנים – מנהיגי הציבור – והחלל האלמוני, אדם שאיש אינו יודע את שמו. הסיטואציה: מוות שאין לו אשם ידוע, שדווקא בו התורה וחז"ל מחייבים את ההנהגה כולה לצאת, להתכנס סביב הגופה ולתת דין וחשבון פומבי. הטקסט נלמד אצלנו כדוגמה לתנועה של חז"ל מן המקרא אל המשנה ואל התלמוד: מטקס כפרה פולחני – אל אמירה מוסרית על אחריות חברתית.</w:t>
      </w:r>
    </w:p>
    <w:p>
      <w:pPr>
        <w:bidi/>
        <w:spacing w:after="60" w:before="120" w:line="360" w:lineRule="auto"/>
        <w:jc w:val="right"/>
      </w:pPr>
      <w:r>
        <w:rPr>
          <w:rFonts w:ascii="David" w:cs="David" w:eastAsia="David" w:hAnsi="David"/>
          <w:b/>
          <w:bCs/>
          <w:i w:val="false"/>
          <w:iCs w:val="false"/>
          <w:sz w:val="24"/>
          <w:szCs w:val="24"/>
          <w:rtl/>
        </w:rPr>
        <w:t xml:space="preserve">ג. מדוע הטקסט מתאים ורלוונטי</w:t>
      </w:r>
    </w:p>
    <w:p>
      <w:pPr>
        <w:bidi/>
        <w:spacing w:after="120" w:line="360" w:lineRule="auto"/>
        <w:jc w:val="both"/>
      </w:pPr>
      <w:r>
        <w:rPr>
          <w:rFonts w:ascii="David" w:cs="David" w:eastAsia="David" w:hAnsi="David"/>
          <w:b w:val="false"/>
          <w:bCs w:val="false"/>
          <w:i w:val="false"/>
          <w:iCs w:val="false"/>
          <w:sz w:val="24"/>
          <w:szCs w:val="24"/>
          <w:rtl/>
        </w:rPr>
        <w:t xml:space="preserve">בחרתי בטקסט הזה משום שהוא מנסח בדיוק את המסר שברצוני לחדד בפתיחת שנה של עשייה משותפת: המבחן של קבוצה אינו במה שהיא עושה לחבריה, אלא במה שהיא מניחה שלא לעשות. הזקנים אינם נחשדים ברצח – הם נתבעים על ליווי שלא ניתן ועל מזון שלא הוצע. חז"ל מלמדים שאחריות אינה רק הימנעות מפגיעה אלא חובת נוכחות פעילה: לראות את מי שבשוליים, ללוות את מי שיוצא לדרך, לא להניח לאיש "לצאת מן העיר" לבדו. בעיניי זהו מסר חד למנהיגות בכל ארגון וקהילה: תרבות של קבוצה נמדדת ברגעי הפרידה והמעבר של חבריה, ובשאלה אם מישהו נעלם – ואיש לא שם לב. האמירה "כל שאינו מלווה – כאילו שופך דמים" חריפה במתכוון, והחריפות הזאת היא שעושה אותה בלתי נשכחת עבור השומעים.</w:t>
      </w:r>
    </w:p>
    <w:p>
      <w:pPr>
        <w:bidi/>
        <w:spacing w:after="120" w:before="240" w:line="360" w:lineRule="auto"/>
        <w:jc w:val="right"/>
      </w:pPr>
      <w:r>
        <w:rPr>
          <w:rFonts w:ascii="David" w:cs="David" w:eastAsia="David" w:hAnsi="David"/>
          <w:b/>
          <w:bCs/>
          <w:i w:val="false"/>
          <w:iCs w:val="false"/>
          <w:sz w:val="28"/>
          <w:szCs w:val="28"/>
          <w:rtl/>
        </w:rPr>
        <w:t xml:space="preserve">שאלה 2: החיבור המשמעותי ביותר בתקופת חז"ל – המשנה</w:t>
      </w:r>
    </w:p>
    <w:p>
      <w:pPr>
        <w:bidi/>
        <w:spacing w:after="60" w:before="120" w:line="360" w:lineRule="auto"/>
        <w:jc w:val="right"/>
      </w:pPr>
      <w:r>
        <w:rPr>
          <w:rFonts w:ascii="David" w:cs="David" w:eastAsia="David" w:hAnsi="David"/>
          <w:b/>
          <w:bCs/>
          <w:i w:val="false"/>
          <w:iCs w:val="false"/>
          <w:sz w:val="24"/>
          <w:szCs w:val="24"/>
          <w:rtl/>
        </w:rPr>
        <w:t xml:space="preserve">א. תיאור החיבור</w:t>
      </w:r>
    </w:p>
    <w:p>
      <w:pPr>
        <w:bidi/>
        <w:spacing w:after="120" w:line="360" w:lineRule="auto"/>
        <w:jc w:val="both"/>
      </w:pPr>
      <w:r>
        <w:rPr>
          <w:rFonts w:ascii="David" w:cs="David" w:eastAsia="David" w:hAnsi="David"/>
          <w:b w:val="false"/>
          <w:bCs w:val="false"/>
          <w:i w:val="false"/>
          <w:iCs w:val="false"/>
          <w:sz w:val="24"/>
          <w:szCs w:val="24"/>
          <w:rtl/>
        </w:rPr>
        <w:t xml:space="preserve">החיבור המשמעותי ביותר בעיניי מתקופת חז"ל הוא המשנה. המשנה נערכה בארץ ישראל בסביבות שנת 220 לספירה בידי רבי יהודה הנשיא ("רבי"), כסיכום ההלכה התנאית שהתפתחה בבתי המדרש מאז דורות בית הלל ובית שמאי, דרך משנת רבי עקיבא ותלמידיו. מאפייניה, כפי שלמדנו בעקבות מבואו של משה הלברטל: היקף עצום ויומרה לסכם את כלל הידע ההלכתי; ארגון ענייני-נושאי בשישה סדרים (זרעים, מועד, נשים, נזיקין, קדשים, טהרות) ולא לפי סדר פסוקי המקרא; עברית ייחודית – "לשון חכמים" – קצרה, מדודה וכמעט ללא הנמקות; ועריכה "כרצף מחלוקות", המשמרת דעות רבים ויחיד בשם אומריהן. המניעים לעריכתה, כפי שנידונו במפגשים: החשש מאובדן המסורת בתקופה סוערת שלאחר החורבן והמרידות, התרחבות הידע והקושי לשלוט בו, והצורך לשמר את המסורת בלא תלות במוסדות ריכוזיים שחרבו.</w:t>
      </w:r>
    </w:p>
    <w:p>
      <w:pPr>
        <w:bidi/>
        <w:spacing w:after="60" w:before="120" w:line="360" w:lineRule="auto"/>
        <w:jc w:val="right"/>
      </w:pPr>
      <w:r>
        <w:rPr>
          <w:rFonts w:ascii="David" w:cs="David" w:eastAsia="David" w:hAnsi="David"/>
          <w:b/>
          <w:bCs/>
          <w:i w:val="false"/>
          <w:iCs w:val="false"/>
          <w:sz w:val="24"/>
          <w:szCs w:val="24"/>
          <w:rtl/>
        </w:rPr>
        <w:t xml:space="preserve">ב. משמעות החיבור והשינוי שחולל</w:t>
      </w:r>
    </w:p>
    <w:p>
      <w:pPr>
        <w:bidi/>
        <w:spacing w:after="120" w:line="360" w:lineRule="auto"/>
        <w:jc w:val="both"/>
      </w:pPr>
      <w:r>
        <w:rPr>
          <w:rFonts w:ascii="David" w:cs="David" w:eastAsia="David" w:hAnsi="David"/>
          <w:b w:val="false"/>
          <w:bCs w:val="false"/>
          <w:i w:val="false"/>
          <w:iCs w:val="false"/>
          <w:sz w:val="24"/>
          <w:szCs w:val="24"/>
          <w:rtl/>
        </w:rPr>
        <w:t xml:space="preserve">המשנה היא החיבור הראשון שהעלה את התורה שבעל־פה מאוסף מסורות מפוזרות לכדי קורפוס ערוך, מוסכם ומחייב – ובכך כונן מחדש את היהדות שלאחר החורבן. השינוי שחוללה כפול. ראשית, היא העמידה את לימוד הטקסט ואת בית המדרש במרכז החיים הדתיים: משחרב המקדש ובטלה עבודת הקרבנות, נעשתה המשנה הציר שסביבו מתארגנים הזיכרון, הסמכות והזהות – "הזיכרון המארגן" של עולם החכמים. שנית, היא יצרה שפה משותפת לעם כולו: המשנה היא התשתית שעליה נבנו שני התלמודים, הבבלי והירושלמי, וכל ספרות ההלכה שאחריהם עד ימינו. ולצד אלה חידוש שלישי, מהפכני לא פחות: בעצם עריכתה כרצף מחלוקות קיבעה המשנה את המחלוקת הלגיטימית – "מחלוקת לשם שמים" – כדרך המלך של התורה שבעל־פה. בניגוד לחתירה לאחידות שאפיינה את האמונה המקראית, בית המדרש מקדש ריבוי דעות וביקורת הדדית ככלי לבירור האמת.</w:t>
      </w:r>
    </w:p>
    <w:p>
      <w:pPr>
        <w:bidi/>
        <w:spacing w:after="60" w:before="120" w:line="360" w:lineRule="auto"/>
        <w:jc w:val="right"/>
      </w:pPr>
      <w:r>
        <w:rPr>
          <w:rFonts w:ascii="David" w:cs="David" w:eastAsia="David" w:hAnsi="David"/>
          <w:b/>
          <w:bCs/>
          <w:i w:val="false"/>
          <w:iCs w:val="false"/>
          <w:sz w:val="24"/>
          <w:szCs w:val="24"/>
          <w:rtl/>
        </w:rPr>
        <w:t xml:space="preserve">ג. דוגמה מתוך החיבור</w:t>
      </w:r>
    </w:p>
    <w:p>
      <w:pPr>
        <w:bidi/>
        <w:spacing w:after="120" w:line="360" w:lineRule="auto"/>
        <w:jc w:val="both"/>
      </w:pPr>
      <w:r>
        <w:rPr>
          <w:rFonts w:ascii="David" w:cs="David" w:eastAsia="David" w:hAnsi="David"/>
          <w:b w:val="false"/>
          <w:bCs w:val="false"/>
          <w:i w:val="false"/>
          <w:iCs w:val="false"/>
          <w:sz w:val="24"/>
          <w:szCs w:val="24"/>
          <w:rtl/>
        </w:rPr>
        <w:t xml:space="preserve">דוגמה הממחישה זאת, מתוך דף החברותא על מאפייני המשנה – משנה, מסכת סוכה פרק א, משנה א:</w:t>
      </w:r>
    </w:p>
    <w:p>
      <w:pPr>
        <w:bidi/>
        <w:spacing w:after="120" w:line="360" w:lineRule="auto"/>
        <w:ind w:left="567" w:right="567"/>
        <w:jc w:val="both"/>
      </w:pPr>
      <w:r>
        <w:rPr>
          <w:rFonts w:ascii="David" w:cs="David" w:eastAsia="David" w:hAnsi="David"/>
          <w:i/>
          <w:iCs/>
          <w:sz w:val="24"/>
          <w:szCs w:val="24"/>
          <w:rtl/>
        </w:rPr>
        <w:t xml:space="preserve">"סֻכָּה שֶׁהִיא גְבוֹהָה לְמַעְלָה מֵעֶשְׂרִים אַמָּה – פְּסוּלָה; רַבִּי יְהוּדָה מַכְשִׁיר. וְשֶׁאֵינָהּ גְּבוֹהָה עֲשָׂרָה טְפָחִים, וְשֶׁאֵין לָהּ שְׁלֹשָׁה דְּפָנוֹת, וְשֶׁחַמָּתָהּ מְרֻבָּה מִצִּלָּתָהּ – פְּסוּלָה."</w:t>
      </w:r>
    </w:p>
    <w:p>
      <w:pPr>
        <w:bidi/>
        <w:spacing w:after="120" w:line="360" w:lineRule="auto"/>
        <w:jc w:val="both"/>
      </w:pPr>
      <w:r>
        <w:rPr>
          <w:rFonts w:ascii="David" w:cs="David" w:eastAsia="David" w:hAnsi="David"/>
          <w:b w:val="false"/>
          <w:bCs w:val="false"/>
          <w:i w:val="false"/>
          <w:iCs w:val="false"/>
          <w:sz w:val="24"/>
          <w:szCs w:val="24"/>
          <w:rtl/>
        </w:rPr>
        <w:t xml:space="preserve">במשנה קצרה זו ניכרים כל החידושים שמנינו: היא פותחת מסכת שלמה המוקדשת לנושא אחד – הסוכה – בלא זיקה לסדר הפסוקים; לשונה פסקנית ומדודה, קובעת שיעורים מספריים מדויקים בלא כל הנמקה; והיא משמרת בגוף ההלכה את דעת היחיד החולק – "רבי יהודה מכשיר" – בלא הכרעה מנומקת ובלא מחיקת הדעה שנדחתה. כך נראה השינוי שחוללה המשנה הלכה למעשה: חוק מקיף ומאורגן, שהמחלוקת אינה תקלה בו אלא חלק ממהותו – והוא שהזמין את הדורות הבאים, בתלמודים ואילך, להמשיך ולדון בו.</w:t>
      </w:r>
    </w:p>
    <w:p>
      <w:pPr>
        <w:bidi/>
        <w:spacing w:after="120" w:before="240" w:line="360" w:lineRule="auto"/>
        <w:jc w:val="right"/>
      </w:pPr>
      <w:r>
        <w:rPr>
          <w:rFonts w:ascii="David" w:cs="David" w:eastAsia="David" w:hAnsi="David"/>
          <w:b/>
          <w:bCs/>
          <w:i w:val="false"/>
          <w:iCs w:val="false"/>
          <w:sz w:val="28"/>
          <w:szCs w:val="28"/>
          <w:rtl/>
        </w:rPr>
        <w:t xml:space="preserve">שאלה 3: הקטע מתוך הסרט "אגדת חורבן"</w:t>
      </w:r>
    </w:p>
    <w:p>
      <w:pPr>
        <w:bidi/>
        <w:spacing w:after="60" w:before="120" w:line="360" w:lineRule="auto"/>
        <w:jc w:val="right"/>
      </w:pPr>
      <w:r>
        <w:rPr>
          <w:rFonts w:ascii="David" w:cs="David" w:eastAsia="David" w:hAnsi="David"/>
          <w:b/>
          <w:bCs/>
          <w:i w:val="false"/>
          <w:iCs w:val="false"/>
          <w:sz w:val="24"/>
          <w:szCs w:val="24"/>
          <w:rtl/>
        </w:rPr>
        <w:t xml:space="preserve">א. המדרש שעליו מבוסס הקטע</w:t>
      </w:r>
    </w:p>
    <w:p>
      <w:pPr>
        <w:bidi/>
        <w:spacing w:after="120" w:line="360" w:lineRule="auto"/>
        <w:jc w:val="both"/>
      </w:pPr>
      <w:r>
        <w:rPr>
          <w:rFonts w:ascii="David" w:cs="David" w:eastAsia="David" w:hAnsi="David"/>
          <w:b w:val="false"/>
          <w:bCs w:val="false"/>
          <w:i w:val="false"/>
          <w:iCs w:val="false"/>
          <w:sz w:val="24"/>
          <w:szCs w:val="24"/>
          <w:rtl/>
        </w:rPr>
        <w:t xml:space="preserve">הקטע מבוסס על אגדת יציאתו של רבן יוחנן בן זכאי (ריב"ז) מירושלים הנצורה, תלמוד בבלי, מסכת גיטין דף נו ע"א–ע"ב, כפי שנלמדה ביחידה "צמיחה מתוך משבר". להלן החלקים הרלוונטיים בתרגום לעברית:</w:t>
      </w:r>
    </w:p>
    <w:p>
      <w:pPr>
        <w:bidi/>
        <w:spacing w:after="120" w:line="360" w:lineRule="auto"/>
        <w:ind w:left="567" w:right="567"/>
        <w:jc w:val="both"/>
      </w:pPr>
      <w:r>
        <w:rPr>
          <w:rFonts w:ascii="David" w:cs="David" w:eastAsia="David" w:hAnsi="David"/>
          <w:i/>
          <w:iCs/>
          <w:sz w:val="24"/>
          <w:szCs w:val="24"/>
          <w:rtl/>
        </w:rPr>
        <w:t xml:space="preserve">"אבא סיקרא, ראש בריוני ירושלים, בן אחותו של רבן יוחנן בן זכאי היה. שלח לו [רבן יוחנן]: בוא אלי בצנעה. בא. אמר לו: עד מתי תעשו כך ותהרגו את העולם ברעב? אמר לו: מה אעשה? שאם אומר להם כך – יהרגו אותי. אמר לו: אני רואה תקנה בשבילי, שאצא [מן העיר]; אפשר שתהיה בזה הצלה מועטה... עשה רבן יוחנן כך [העמיד פני מת]: נכנס תחתיו רבי אליעזר מצד אחד ורבי יהושע מצד אחר. כשהגיעו לפתח [השער] רצו [הבריונים] לדקור אותו. אמר להם: יאמרו "את רבם דקרו"!... פתחו את השער, יצא. כשהגיע לשם אמר: שלום עליך המלך, שלום עליך המלך!... [משנתבשר אספסיינוס כי הוכתר לקיסר, אמר:] הולך אני, ואיש אחר אשלח תחתיי; אלא בקש ממני דבר ואתן לך. אמר לו: תן לי יבנה וחכמיה, ושושלת רבן גמליאל, ורופאים שירפאו את רבי צדוק. קרא עליו רב יוסף, ויש אומרים רבי עקיבא: 'מֵשִׁיב חֲכָמִים אָחוֹר וְדַעְתָּם יְסַכֵּל' – היה לו לומר לו שיניח להם הפעם."</w:t>
      </w:r>
    </w:p>
    <w:p>
      <w:pPr>
        <w:bidi/>
        <w:spacing w:after="60" w:before="120" w:line="360" w:lineRule="auto"/>
        <w:jc w:val="right"/>
      </w:pPr>
      <w:r>
        <w:rPr>
          <w:rFonts w:ascii="David" w:cs="David" w:eastAsia="David" w:hAnsi="David"/>
          <w:b/>
          <w:bCs/>
          <w:i w:val="false"/>
          <w:iCs w:val="false"/>
          <w:sz w:val="24"/>
          <w:szCs w:val="24"/>
          <w:rtl/>
        </w:rPr>
        <w:t xml:space="preserve">ב. בין המדרש לסרט – דמיונות והבדלים</w:t>
      </w:r>
    </w:p>
    <w:p>
      <w:pPr>
        <w:bidi/>
        <w:spacing w:after="120" w:line="360" w:lineRule="auto"/>
        <w:jc w:val="both"/>
      </w:pPr>
      <w:r>
        <w:rPr>
          <w:rFonts w:ascii="David" w:cs="David" w:eastAsia="David" w:hAnsi="David"/>
          <w:b w:val="false"/>
          <w:bCs w:val="false"/>
          <w:i w:val="false"/>
          <w:iCs w:val="false"/>
          <w:sz w:val="24"/>
          <w:szCs w:val="24"/>
          <w:rtl/>
        </w:rPr>
        <w:t xml:space="preserve">שלושה דמיונות: (1) הסרט נאמן לשלד העלילה של האגדה: הפגישה החשאית בין ריב"ז לבין בן אחותו, מנהיג הבריונים; ההכרה שהקנאות מרעיבה את העיר; והתחבולה – ריב"ז מעמיד פני מת ומוצא מן העיר בארון, הנישא בידי תלמידיו רבי אליעזר ורבי יהושע. (2) המתח בשער העיר – שומרי הבריונים המבקשים לוודא שאכן מת מוטל בארון, והבלימה בטענת כבוד הרב ("יאמרו: את רבם דקרו") – מומחז בסרט כרוחו של המקור. (3) המפגש עם אספסיינוס נבנה כבמדרש: הפנייה המפתיעה "שלום עליך המלך", בשורת ההכתרה המגיעה בעיצומו של המפגש והופכת את הנביא-לכאורה לבן שיח מועדף, והבקשה שבשיא הסצנה – "תן לי יבנה וחכמיה".</w:t>
      </w:r>
    </w:p>
    <w:p>
      <w:pPr>
        <w:bidi/>
        <w:spacing w:after="120" w:line="360" w:lineRule="auto"/>
        <w:jc w:val="both"/>
      </w:pPr>
      <w:r>
        <w:rPr>
          <w:rFonts w:ascii="David" w:cs="David" w:eastAsia="David" w:hAnsi="David"/>
          <w:b w:val="false"/>
          <w:bCs w:val="false"/>
          <w:i w:val="false"/>
          <w:iCs w:val="false"/>
          <w:sz w:val="24"/>
          <w:szCs w:val="24"/>
          <w:rtl/>
        </w:rPr>
        <w:t xml:space="preserve">שלושה הבדלים: (1) הדמויות: בבבלי האחיין הוא "אבא סיקרא", דמות לקונית המופיעה בתמונה אחת; הסרט (ההולך כאן בעקבות גרסת איכה רבה) קורא לו בן בטיח והופכו לגיבור ראשי בעל עלילה, פנים וקול – ובכלל, מה שהתלמוד מוסר במשפטים ספורים נפרש בסרט לדיאלוגים ולרגש. (2) ההקשר ואמצעי המבע: הסרט שוזר את הבריחה בעלילה רחבה של מלחמת האחים – שריפת האסמים והרעב מוצגים חזותית ובאכזריות – והכול מסופר בהנפשה ייחודית של ציורי אמנות קלאסיים בליווי מוזיקה; האגדה, לעומת זאת, חסכנית ומאופקת. (3) מה שהסרט משמיט: קול הביקורת הפנים־תלמודי – קריאתם של רב יוסף או רבי עקיבא "משיב חכמים אחור" על שלא ביקש על ירושלים עצמה – וכן פירוט שלוש הבקשות וסיפור ריפויו של רבי צדוק, מצטמצמים או נעדרים; הסרט מניח לצופה לשפוט בעצמו את הכרעת ריב"ז.</w:t>
      </w:r>
    </w:p>
    <w:p>
      <w:pPr>
        <w:bidi/>
        <w:spacing w:after="60" w:before="120" w:line="360" w:lineRule="auto"/>
        <w:jc w:val="right"/>
      </w:pPr>
      <w:r>
        <w:rPr>
          <w:rFonts w:ascii="David" w:cs="David" w:eastAsia="David" w:hAnsi="David"/>
          <w:b/>
          <w:bCs/>
          <w:i w:val="false"/>
          <w:iCs w:val="false"/>
          <w:sz w:val="24"/>
          <w:szCs w:val="24"/>
          <w:rtl/>
        </w:rPr>
        <w:t xml:space="preserve">ג. הסבר המדרש לאור המאמר מן הסילבוס</w:t>
      </w:r>
    </w:p>
    <w:p>
      <w:pPr>
        <w:bidi/>
        <w:spacing w:after="120" w:line="360" w:lineRule="auto"/>
        <w:jc w:val="both"/>
      </w:pPr>
      <w:r>
        <w:rPr>
          <w:rFonts w:ascii="David" w:cs="David" w:eastAsia="David" w:hAnsi="David"/>
          <w:b w:val="false"/>
          <w:bCs w:val="false"/>
          <w:i w:val="false"/>
          <w:iCs w:val="false"/>
          <w:sz w:val="24"/>
          <w:szCs w:val="24"/>
          <w:rtl/>
        </w:rPr>
        <w:t xml:space="preserve">במאמרה "רבן יוחנן בן זכאי והקמת יבנה: ניתוח והערכת הסיפור בראי הזמן" מציעה דליה מרקס לקרוא את האגדה כ"סיפור של מעתק": רגע המעבר ממציאות שבה יש לעם מרכז פולחני בירושלים אל מציאות שדרשה מציאת קדושה בדרכים חדשות ומהפכניות – והאגדה, היא מדגישה, אינה רק מתארת את המעבר אלא יוצרת אותו ומְמַשמעת אותו. בעקבות ג'ונתן רוזן היא רואה במסע בארון המתים הוצאה אל הפועל, סמלית, של שינוי הצורה שעברה היהדות: היהודים "מתו" כעם של הגוף, של הארץ ושל פולחן המקדש – ונולדו מחדש כעם הספר. ריב"ז חייב למות מוות סמלי כדי שמשהו חדש יוכל להיוולד; היציאה בארון היא ההרפיה מן האחיזה בירושלים שדינה נגזר. על הבקשה "תן לי יבנה וחכמיה" מראה מרקס (בעקבות שרמר) כי היא מעמידה את שכבת החכמים כהנהגת העם: "יבנה וחכמיה" באה תחת "ירושלים ובית מקדשה", ומעתה האחריות לגורל העם מופקדת בידי החכמים. ואף הביקורת התלמודית משתלבת בקריאה זו: העמדת רב יוסף ורבי עקיבא – זה מבבל וזה מדור מרד בר כוכבא, שבחר בדרך ההפוכה – מציבה מול הכרעת ריב"ז שני עולמות חלופיים, ומלמדת שהתלמוד עצמו הנציח את הסיפור יחד עם המחלוקת עליו.</w:t>
      </w:r>
    </w:p>
    <w:p>
      <w:pPr>
        <w:bidi/>
        <w:spacing w:after="60" w:before="120" w:line="360" w:lineRule="auto"/>
        <w:jc w:val="right"/>
      </w:pPr>
      <w:r>
        <w:rPr>
          <w:rFonts w:ascii="David" w:cs="David" w:eastAsia="David" w:hAnsi="David"/>
          <w:b/>
          <w:bCs/>
          <w:i w:val="false"/>
          <w:iCs w:val="false"/>
          <w:sz w:val="24"/>
          <w:szCs w:val="24"/>
          <w:rtl/>
        </w:rPr>
        <w:t xml:space="preserve">ד. משמעות המדרש לימינו</w:t>
      </w:r>
    </w:p>
    <w:p>
      <w:pPr>
        <w:bidi/>
        <w:spacing w:after="120" w:line="360" w:lineRule="auto"/>
        <w:jc w:val="both"/>
      </w:pPr>
      <w:r>
        <w:rPr>
          <w:rFonts w:ascii="David" w:cs="David" w:eastAsia="David" w:hAnsi="David"/>
          <w:b w:val="false"/>
          <w:bCs w:val="false"/>
          <w:i w:val="false"/>
          <w:iCs w:val="false"/>
          <w:sz w:val="24"/>
          <w:szCs w:val="24"/>
          <w:rtl/>
        </w:rPr>
        <w:t xml:space="preserve">המדרש הזה הוא בעיניי מן הנלמדים ביותר עד היום משום שהוא הסיפור המכונן של "צמיחה מתוך משבר" – הציר שסביבו נבנתה היהדות הרבנית כולה. יבנה הפכה, כדברי מרקס, לארכיטיפ תודעתי: כל מקום תורה שתלמידים נוהרים אליו הוא בחזקת יבנה. הסיפור מעמיד דגם מנהיגות על־זמני: מול הקנאות המקדשת מלחמה עד כלות, ריב"ז מציג פרגמטיזם מציל – היכולת לוותר על היקר מכול כדי להציל את מה שניתן, ולתרגם חורבן לבניין. לא במקרה, כפי שמראה מרקס, שבו דורות שונים ויצקו אל הסיפור את עולמם: מורים אחרי השואה ראו ביבנה את ניצחון הלימוד על הכוח, ובוויכוחים ציבוריים בישראל – עד ימינו – נאבקים תומכים ומבקרים על דמותו של ריב"ז, בין "מייסד יהדות בית המדרש" לבין מי שוויתר על ירושלים. ודווקא העמימות הזו, שהתלמוד עצמו שימר בביקורת "משיב חכמים אחור", היא סוד כוחו: הוא אינו מוסר חד־משמעי אלא מראה – לאומה ולכל יחיד המקים את חייו מן החורבות.</w:t>
      </w:r>
    </w:p>
    <w:p>
      <w:pPr>
        <w:bidi/>
        <w:spacing w:after="120" w:before="240" w:line="360" w:lineRule="auto"/>
        <w:jc w:val="right"/>
      </w:pPr>
      <w:r>
        <w:rPr>
          <w:rFonts w:ascii="David" w:cs="David" w:eastAsia="David" w:hAnsi="David"/>
          <w:b/>
          <w:bCs/>
          <w:i w:val="false"/>
          <w:iCs w:val="false"/>
          <w:sz w:val="28"/>
          <w:szCs w:val="28"/>
          <w:rtl/>
        </w:rPr>
        <w:t xml:space="preserve">שאלה 4: ניתוח מקור – תחילתו של רבי אליעזר בן הורקנוס</w:t>
      </w:r>
    </w:p>
    <w:p>
      <w:pPr>
        <w:bidi/>
        <w:spacing w:after="120" w:line="360" w:lineRule="auto"/>
        <w:jc w:val="both"/>
      </w:pPr>
      <w:r>
        <w:rPr>
          <w:rFonts w:ascii="David" w:cs="David" w:eastAsia="David" w:hAnsi="David"/>
          <w:b w:val="false"/>
          <w:bCs w:val="false"/>
          <w:i w:val="false"/>
          <w:iCs w:val="false"/>
          <w:sz w:val="24"/>
          <w:szCs w:val="24"/>
          <w:rtl/>
        </w:rPr>
        <w:t xml:space="preserve">בחרתי במקור הראשון: סיפור תחילתו של רבי אליעזר בן הורקנוס (פרקי דרבי אליעזר, פרקים א–ב, ומקבילות באבות דרבי נתן נוסח א ובמדרשים נוספים), שנלמד בדף החברותא "איך נעשים חכמ.ה".</w:t>
      </w:r>
    </w:p>
    <w:p>
      <w:pPr>
        <w:bidi/>
        <w:spacing w:after="60" w:before="120" w:line="360" w:lineRule="auto"/>
        <w:jc w:val="right"/>
      </w:pPr>
      <w:r>
        <w:rPr>
          <w:rFonts w:ascii="David" w:cs="David" w:eastAsia="David" w:hAnsi="David"/>
          <w:b/>
          <w:bCs/>
          <w:i w:val="false"/>
          <w:iCs w:val="false"/>
          <w:sz w:val="24"/>
          <w:szCs w:val="24"/>
          <w:rtl/>
        </w:rPr>
        <w:t xml:space="preserve">א. הסבר הטקסט במילותיי</w:t>
      </w:r>
    </w:p>
    <w:p>
      <w:pPr>
        <w:bidi/>
        <w:spacing w:after="120" w:line="360" w:lineRule="auto"/>
        <w:jc w:val="both"/>
      </w:pPr>
      <w:r>
        <w:rPr>
          <w:rFonts w:ascii="David" w:cs="David" w:eastAsia="David" w:hAnsi="David"/>
          <w:b w:val="false"/>
          <w:bCs w:val="false"/>
          <w:i w:val="false"/>
          <w:iCs w:val="false"/>
          <w:sz w:val="24"/>
          <w:szCs w:val="24"/>
          <w:rtl/>
        </w:rPr>
        <w:t xml:space="preserve">הסיפור מתאר את ראשית דרכו של מי שיהיה מגדולי התנאים – ומתחיל דווקא בכישלון: אליעזר הוא בן עשרים ושתיים שלא למד תורה מעולם, בן לאב עשיר בעל שדות. בעוד אחיו חורשים באדמה הפורייה, הוא נשלח לחרוש בטרשים – ובוכה. האב מפרש את הבכי כקובלנה על תנאי העבודה ומיטיב עמו, אך הבכי נמשך, שכן מקורו אחר: "שאני מבקש ללמוד תורה". האב לועג – בן עשרים ושתיים ואתה מבקש ללמוד?! – ואליעזר בורח מבית אביו אל בית מדרשו של רבן יוחנן בן זכאי בירושלים. שם הוא לומד מבראשית – קריאת שמע, תפילה, ברכת המזון, שתי הלכות ביום – ברעב ובמסירות קיצונית, שמונה ימים בלא מזון, עד שריח פיו מסגיר אותו והרב מגלה את גדול תלמידיו העתידי דווקא בתלמיד המורעב והבוש. שיא הסיפור בהיפוך כפול: הורקנוס עולה לירושלים להדיר את בנו מנכסיו, ומוצא אותו דורש "דברים שלא שמעתם אוזן מעולם", פניו מאירות "וקרנותיו יוצאות כקרנותיו של משה"; ריב"ז מנשקו וקורא "אשריכם אברהם יצחק ויעקב שיצא זה מחלציכם", והאב, שבא לנשל – עומד ומוריש לו את כל נכסיו. אליעזר, בתשובתו, מסרב לראות בנכסים תכלית: "לא ביקשתי מלפני הקדוש ברוך הוא אלא תורה בלבד".</w:t>
      </w:r>
    </w:p>
    <w:p>
      <w:pPr>
        <w:bidi/>
        <w:spacing w:after="60" w:before="120" w:line="360" w:lineRule="auto"/>
        <w:jc w:val="right"/>
      </w:pPr>
      <w:r>
        <w:rPr>
          <w:rFonts w:ascii="David" w:cs="David" w:eastAsia="David" w:hAnsi="David"/>
          <w:b/>
          <w:bCs/>
          <w:i w:val="false"/>
          <w:iCs w:val="false"/>
          <w:sz w:val="24"/>
          <w:szCs w:val="24"/>
          <w:rtl/>
        </w:rPr>
        <w:t xml:space="preserve">ב. מגמות ומאפיינים של תקופת חז"ל בקטע</w:t>
      </w:r>
    </w:p>
    <w:p>
      <w:pPr>
        <w:bidi/>
        <w:spacing w:after="120" w:line="360" w:lineRule="auto"/>
        <w:jc w:val="both"/>
      </w:pPr>
      <w:r>
        <w:rPr>
          <w:rFonts w:ascii="David" w:cs="David" w:eastAsia="David" w:hAnsi="David"/>
          <w:b w:val="false"/>
          <w:bCs w:val="false"/>
          <w:i w:val="false"/>
          <w:iCs w:val="false"/>
          <w:sz w:val="24"/>
          <w:szCs w:val="24"/>
          <w:rtl/>
        </w:rPr>
        <w:t xml:space="preserve">ראשית, הסיפור מגלם את הציר המרכזי שנלמד בקורס – המרכז עובר מבית המקדש אל בית המדרש, וממוקד הקדושה שבמקום אל האדם (כניתוחו של יאיר לורברבוים במאמר "ממקדש לאדם"). גיבור הסיפור אינו כהן ואינו בעל אחוזה: הדרמה כולה מתרחשת בין שדה חרוש לבית מדרש, והקדושה מתגלה בלימודו של אדם אחד. הערכים המקודשים של העולם הישן – אדמה, ירושה, ממון – מוצבים במפורש מול התורה, ומוכרעים: "אילו קרקעות ביקשתי... אילו כסף וזהב ביקשתי... לא ביקשתי אלא תורה בלבד".</w:t>
      </w:r>
    </w:p>
    <w:p>
      <w:pPr>
        <w:bidi/>
        <w:spacing w:after="120" w:line="360" w:lineRule="auto"/>
        <w:jc w:val="both"/>
      </w:pPr>
      <w:r>
        <w:rPr>
          <w:rFonts w:ascii="David" w:cs="David" w:eastAsia="David" w:hAnsi="David"/>
          <w:b w:val="false"/>
          <w:bCs w:val="false"/>
          <w:i w:val="false"/>
          <w:iCs w:val="false"/>
          <w:sz w:val="24"/>
          <w:szCs w:val="24"/>
          <w:rtl/>
        </w:rPr>
        <w:t xml:space="preserve">שנית, ניכרת המגמה שנלמדה ביחידה "מנביא לחכם" – שינוי תפיסת ההנהגה ממלך, כהן ונביא אל תלמיד החכם. תיאורו של אליעזר הדורש – "פניו מאירות כאור החמה וקרנותיו יוצאות כקרנותיו של משה" – שואל במכוון את דמות משה היורד מסיני, ומעמיד את הדרשן בבית המדרש כממשיכה של ההתגלות: החכם, שנטלה הנבואה וניתנה לו, מחדש "דברים שלא שמעתם אוזן מעולם" – והחידוש הפרשני תופס את מקום ההתגלות הישירה.</w:t>
      </w:r>
    </w:p>
    <w:p>
      <w:pPr>
        <w:bidi/>
        <w:spacing w:after="120" w:line="360" w:lineRule="auto"/>
        <w:jc w:val="both"/>
      </w:pPr>
      <w:r>
        <w:rPr>
          <w:rFonts w:ascii="David" w:cs="David" w:eastAsia="David" w:hAnsi="David"/>
          <w:b w:val="false"/>
          <w:bCs w:val="false"/>
          <w:i w:val="false"/>
          <w:iCs w:val="false"/>
          <w:sz w:val="24"/>
          <w:szCs w:val="24"/>
          <w:rtl/>
        </w:rPr>
        <w:t xml:space="preserve">שלישית, הסיפור משקף את האתוס שמעמדו של חכם נקנה בלימוד ואינו עובר בירושה ואינו תלוי בגיל, בממון או בייחוס: אליעזר מתחיל מאפס בגיל עשרים ושתיים, בניגוד לרצון אביו העשיר, ומעמדו החדש נבנה כולו בתוך המסגרת המכוננת של התקופה – בית המדרש ויחסי הרב והתלמיד: לימוד מדורג ושיטתי, רב הקשוב לתלמידו עד כדי הבחנה בריח פיו, וקרבה הנמסרת בנשיקה על הראש – הרב כמו נעשה אב.</w:t>
      </w:r>
    </w:p>
    <w:p>
      <w:pPr>
        <w:bidi/>
        <w:spacing w:after="60" w:before="120" w:line="360" w:lineRule="auto"/>
        <w:jc w:val="right"/>
      </w:pPr>
      <w:r>
        <w:rPr>
          <w:rFonts w:ascii="David" w:cs="David" w:eastAsia="David" w:hAnsi="David"/>
          <w:b/>
          <w:bCs/>
          <w:i w:val="false"/>
          <w:iCs w:val="false"/>
          <w:sz w:val="24"/>
          <w:szCs w:val="24"/>
          <w:rtl/>
        </w:rPr>
        <w:t xml:space="preserve">ג. הרחבה על דמות מן הקטע – רבי אליעזר בן הורקנוס</w:t>
      </w:r>
    </w:p>
    <w:p>
      <w:pPr>
        <w:bidi/>
        <w:spacing w:after="120" w:line="360" w:lineRule="auto"/>
        <w:jc w:val="both"/>
      </w:pPr>
      <w:r>
        <w:rPr>
          <w:rFonts w:ascii="David" w:cs="David" w:eastAsia="David" w:hAnsi="David"/>
          <w:b w:val="false"/>
          <w:bCs w:val="false"/>
          <w:i w:val="false"/>
          <w:iCs w:val="false"/>
          <w:sz w:val="24"/>
          <w:szCs w:val="24"/>
          <w:rtl/>
        </w:rPr>
        <w:t xml:space="preserve">את דמותו של רבי אליעזר עצמו פגשנו במקורות נוספים במפגשים, והם מצטרפים לדיוקן עקבי ומרתק. במשנה, מסכת אבות פרק ב, משנה ח – שנלמדה ביחידה "צמיחה מתוך משבר" – מונה רבן יוחנן בן זכאי את חמשת תלמידיו ומגדיר את שבחו: "אליעזר בן הורקנוס – בור סוּד שאינו מאבד טיפה". הדימוי מתכתב להפליא עם סיפור תחילתו: כשנדרש לדרוש לפני רבו השיב "משל לבור שאינו יכול להוציא מים יותר ממה שהוא מכניס – כך אין אני יכול לומר דברי תורה יותר ממה שקיבלתי ממך". רבי אליעזר הוא אפוא איש המסורת בהתגלמותו: כוחו בשימור מדוקדק של מה שקיבל, לא בהמצאה. ובהמשך שם (משנה ט), כשנשאלים התלמידים "איזוהי דרך טובה שידבק בה האדם", תשובתו – "עין טובה".</w:t>
      </w:r>
    </w:p>
    <w:p>
      <w:pPr>
        <w:bidi/>
        <w:spacing w:after="120" w:line="360" w:lineRule="auto"/>
        <w:jc w:val="both"/>
      </w:pPr>
      <w:r>
        <w:rPr>
          <w:rFonts w:ascii="David" w:cs="David" w:eastAsia="David" w:hAnsi="David"/>
          <w:b w:val="false"/>
          <w:bCs w:val="false"/>
          <w:i w:val="false"/>
          <w:iCs w:val="false"/>
          <w:sz w:val="24"/>
          <w:szCs w:val="24"/>
          <w:rtl/>
        </w:rPr>
        <w:t xml:space="preserve">פן אחר, מעורר מחלוקת, פגשנו במפגש על לימוד תורה לנשים: במשנה סוטה פרק ג, משנה ד, מול בן עזאי הקובע "חייב אדם ללמד את בתו תורה", מציב רבי אליעזר את העמדה המחמירה: "כל המלמד את בתו תורה – כאילו מלמדה תפלות"; והבבלי (סוטה כא ע"ב) מטעים את דבריו בדרשת רבי אבהו "כיוון שנכנסה חכמה באדם נכנסה עמו ערמומית". בעקבות דיונו של דניאל בויארין בפרק "הבשר שברוח" למדנו לראות במחלוקת זו מאבק עקרוני על גבולות בית המדרש ועל השאלה מי שותף ל"תאוות הלימוד". וכאן מתחדד הפרדוקס של הדמות: האיש שפרץ בעצמו כל גבול כדי להיכנס לבית המדרש – בגיל מאוחר, נגד אביו, כנגד כל הסיכויים – הוא הנועל את שעריו בפני נשים; שומר הסף הגדול של המסורת, ה"בור הסוד", מבקש לשמר גם את גבולותיה החברתיים. ראוי להזכיר עוד כי בסיפור תחילתו של רבי עקיבא, שנלמד באותו דף חברותא, יושב רבי עקיבא שנים "לפני רבי אליעזר" – הבור הסוד נעשה בעצמו רבו של גדול הדרשנים; וכי אשתו, אמא שלום אחות רבן גמליאל, נזכרה אף היא במקורות שנלמדו במפגש על הנשים הלומדות.</w:t>
      </w:r>
    </w:p>
    <w:p>
      <w:r>
        <w:br w:type="page"/>
      </w:r>
    </w:p>
    <w:p>
      <w:pPr>
        <w:bidi/>
        <w:spacing w:after="120" w:before="240" w:line="360" w:lineRule="auto"/>
        <w:jc w:val="right"/>
      </w:pPr>
      <w:r>
        <w:rPr>
          <w:rFonts w:ascii="David" w:cs="David" w:eastAsia="David" w:hAnsi="David"/>
          <w:b/>
          <w:bCs/>
          <w:i w:val="false"/>
          <w:iCs w:val="false"/>
          <w:sz w:val="28"/>
          <w:szCs w:val="28"/>
          <w:rtl/>
        </w:rPr>
        <w:t xml:space="preserve">ביבליוגרפיה</w:t>
      </w:r>
    </w:p>
    <w:p>
      <w:pPr>
        <w:bidi/>
        <w:spacing w:after="120" w:line="360" w:lineRule="auto"/>
        <w:jc w:val="right"/>
      </w:pPr>
      <w:r>
        <w:rPr>
          <w:rFonts w:ascii="David" w:cs="David" w:eastAsia="David" w:hAnsi="David"/>
          <w:b w:val="false"/>
          <w:bCs w:val="false"/>
          <w:i w:val="false"/>
          <w:iCs w:val="false"/>
          <w:sz w:val="24"/>
          <w:szCs w:val="24"/>
          <w:rtl/>
        </w:rPr>
        <w:t xml:space="preserve">בויארין, דניאל, "תאוות הלימוד: התורה כאישה אחרת", בתוך: הבשר שברוח – שיח המיניות בתלמוד, תל אביב: עם עובד, תשנ"ט, עמ' 170–183.</w:t>
      </w:r>
    </w:p>
    <w:p>
      <w:pPr>
        <w:bidi/>
        <w:spacing w:after="120" w:line="360" w:lineRule="auto"/>
        <w:jc w:val="right"/>
      </w:pPr>
      <w:r>
        <w:rPr>
          <w:rFonts w:ascii="David" w:cs="David" w:eastAsia="David" w:hAnsi="David"/>
          <w:b w:val="false"/>
          <w:bCs w:val="false"/>
          <w:i w:val="false"/>
          <w:iCs w:val="false"/>
          <w:sz w:val="24"/>
          <w:szCs w:val="24"/>
          <w:rtl/>
        </w:rPr>
        <w:t xml:space="preserve">הלברטל, משה, "מבוא למשנה", שישה סדרי משנה, סדרת עם הספר, תל אביב: ידיעות אחרונות.</w:t>
      </w:r>
    </w:p>
    <w:p>
      <w:pPr>
        <w:bidi/>
        <w:spacing w:after="120" w:line="360" w:lineRule="auto"/>
        <w:jc w:val="right"/>
      </w:pPr>
      <w:r>
        <w:rPr>
          <w:rFonts w:ascii="David" w:cs="David" w:eastAsia="David" w:hAnsi="David"/>
          <w:b w:val="false"/>
          <w:bCs w:val="false"/>
          <w:i w:val="false"/>
          <w:iCs w:val="false"/>
          <w:sz w:val="24"/>
          <w:szCs w:val="24"/>
          <w:rtl/>
        </w:rPr>
        <w:t xml:space="preserve">לורברבוים, יאיר, "ממקדש לאדם: תמורות במוקד הקדושה בספרות חז"ל", דעת: כתב עת לפילוסופיה יהודית וקבלה 86 (תשע"ט), עמ' 377–396.</w:t>
      </w:r>
    </w:p>
    <w:p>
      <w:pPr>
        <w:bidi/>
        <w:spacing w:after="120" w:line="360" w:lineRule="auto"/>
        <w:jc w:val="right"/>
      </w:pPr>
      <w:r>
        <w:rPr>
          <w:rFonts w:ascii="David" w:cs="David" w:eastAsia="David" w:hAnsi="David"/>
          <w:b w:val="false"/>
          <w:bCs w:val="false"/>
          <w:i w:val="false"/>
          <w:iCs w:val="false"/>
          <w:sz w:val="24"/>
          <w:szCs w:val="24"/>
          <w:rtl/>
        </w:rPr>
        <w:t xml:space="preserve">מרקס, דליה, "רבן יוחנן בן זכאי והקמת יבנה: ניתוח והערכת הסיפור בראי הזמן".</w:t>
      </w:r>
    </w:p>
    <w:p>
      <w:pPr>
        <w:bidi/>
        <w:spacing w:after="120" w:line="360" w:lineRule="auto"/>
        <w:jc w:val="right"/>
      </w:pPr>
      <w:r>
        <w:rPr>
          <w:rFonts w:ascii="David" w:cs="David" w:eastAsia="David" w:hAnsi="David"/>
          <w:b w:val="false"/>
          <w:bCs w:val="false"/>
          <w:i w:val="false"/>
          <w:iCs w:val="false"/>
          <w:sz w:val="24"/>
          <w:szCs w:val="24"/>
          <w:rtl/>
        </w:rPr>
        <w:t xml:space="preserve">דפי המקורות, דפי החברותא והמצגות מאתר הקורס: מפגשים 1–2 ("שתי תורות", עגלה ערופה), שיעורים 3–5 ("מנביא לחכם", משנה ותוספתא, דף חברותא מאפייני המשנה), היחידה "צמיחה מתוך משבר" (ריב"ז והיציאה מירושלים), דף חברותא "איך נעשים חכמ.ה", דף מקורות מפגש 11 (לימוד תורה לנשים).</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2026-07-30T11:46:12.316Z</dcterms:created>
  <dcterms:modified xsi:type="dcterms:W3CDTF">2026-07-30T11:46:12.330Z</dcterms:modified>
</cp:coreProperties>
</file>

<file path=docProps/custom.xml><?xml version="1.0" encoding="utf-8"?>
<Properties xmlns="http://schemas.openxmlformats.org/officeDocument/2006/custom-properties" xmlns:vt="http://schemas.openxmlformats.org/officeDocument/2006/docPropsVTypes"/>
</file>