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480"/>
        <w:jc w:val="center"/>
      </w:pPr>
      <w:r>
        <w:rPr>
          <w:rFonts w:ascii="David" w:cs="David" w:hAnsi="David"/>
          <w:noProof/>
          <w:sz w:val="24"/>
          <w:szCs w:val="24"/>
          <w:rtl/>
        </w:rPr>
        <w:t xml:space="preserve"/>
      </w:r>
    </w:p>
    <w:p>
      <w:pPr>
        <w:bidi/>
        <w:spacing w:line="480"/>
        <w:jc w:val="center"/>
      </w:pPr>
      <w:r>
        <w:rPr>
          <w:rFonts w:ascii="David" w:cs="David" w:hAnsi="David"/>
          <w:noProof/>
          <w:sz w:val="24"/>
          <w:szCs w:val="24"/>
          <w:rtl/>
        </w:rPr>
        <w:t xml:space="preserve"/>
      </w:r>
    </w:p>
    <w:p>
      <w:pPr>
        <w:bidi/>
        <w:spacing w:line="480"/>
        <w:jc w:val="center"/>
      </w:pPr>
      <w:r>
        <w:rPr>
          <w:rFonts w:ascii="David" w:cs="David" w:hAnsi="David"/>
          <w:b/>
          <w:bCs/>
          <w:noProof/>
          <w:sz w:val="24"/>
          <w:szCs w:val="24"/>
          <w:rtl/>
        </w:rPr>
        <w:t xml:space="preserve">המחלקה ל-BA רב תחומי במדעי הרוח והחברה</w:t>
      </w:r>
    </w:p>
    <w:p>
      <w:pPr>
        <w:bidi/>
        <w:spacing w:line="480"/>
        <w:jc w:val="center"/>
      </w:pPr>
      <w:r>
        <w:rPr>
          <w:rFonts w:ascii="David" w:cs="David" w:hAnsi="David"/>
          <w:noProof/>
          <w:sz w:val="24"/>
          <w:szCs w:val="24"/>
          <w:rtl/>
        </w:rPr>
        <w:t xml:space="preserve"/>
      </w:r>
    </w:p>
    <w:p>
      <w:pPr>
        <w:bidi/>
        <w:spacing w:line="480"/>
        <w:jc w:val="center"/>
      </w:pPr>
      <w:r>
        <w:rPr>
          <w:rFonts w:ascii="David" w:cs="David" w:hAnsi="David"/>
          <w:b/>
          <w:bCs/>
          <w:noProof/>
          <w:sz w:val="24"/>
          <w:szCs w:val="24"/>
          <w:rtl/>
        </w:rPr>
        <w:t xml:space="preserve">מטלת אמצע בקורס: תולדות המערב</w:t>
      </w:r>
    </w:p>
    <w:p>
      <w:pPr>
        <w:bidi/>
        <w:spacing w:line="480"/>
        <w:jc w:val="center"/>
      </w:pPr>
      <w:r>
        <w:rPr>
          <w:rFonts w:ascii="David" w:cs="David" w:hAnsi="David"/>
          <w:noProof/>
          <w:sz w:val="24"/>
          <w:szCs w:val="24"/>
          <w:rtl/>
        </w:rPr>
        <w:t xml:space="preserve"/>
      </w:r>
    </w:p>
    <w:p>
      <w:pPr>
        <w:bidi/>
        <w:spacing w:line="480"/>
        <w:jc w:val="center"/>
      </w:pPr>
      <w:r>
        <w:rPr>
          <w:rFonts w:ascii="David" w:cs="David" w:hAnsi="David"/>
          <w:b/>
          <w:bCs/>
          <w:noProof/>
          <w:sz w:val="24"/>
          <w:szCs w:val="24"/>
          <w:rtl/>
        </w:rPr>
        <w:t xml:space="preserve">‏"הדיאלוג המלי"</w:t>
      </w:r>
    </w:p>
    <w:p>
      <w:pPr>
        <w:bidi/>
        <w:spacing w:line="480"/>
        <w:jc w:val="center"/>
      </w:pPr>
      <w:r>
        <w:rPr>
          <w:rFonts w:ascii="David" w:cs="David" w:hAnsi="David"/>
          <w:noProof/>
          <w:sz w:val="24"/>
          <w:szCs w:val="24"/>
          <w:rtl/>
        </w:rPr>
        <w:t xml:space="preserve"/>
      </w:r>
    </w:p>
    <w:p>
      <w:pPr>
        <w:bidi/>
        <w:spacing w:line="480"/>
        <w:jc w:val="center"/>
      </w:pPr>
      <w:r>
        <w:rPr>
          <w:rFonts w:ascii="David" w:cs="David" w:hAnsi="David"/>
          <w:noProof/>
          <w:sz w:val="24"/>
          <w:szCs w:val="24"/>
          <w:rtl/>
        </w:rPr>
        <w:t xml:space="preserve"/>
      </w:r>
    </w:p>
    <w:p>
      <w:pPr>
        <w:bidi/>
        <w:spacing w:line="480"/>
        <w:jc w:val="center"/>
      </w:pPr>
      <w:r>
        <w:rPr>
          <w:rFonts w:ascii="David" w:cs="David" w:hAnsi="David"/>
          <w:noProof/>
          <w:sz w:val="24"/>
          <w:szCs w:val="24"/>
          <w:rtl/>
        </w:rPr>
        <w:t xml:space="preserve">שם המרצה: ____________</w:t>
      </w:r>
    </w:p>
    <w:p>
      <w:pPr>
        <w:bidi/>
        <w:spacing w:line="480"/>
        <w:jc w:val="center"/>
      </w:pPr>
      <w:r>
        <w:rPr>
          <w:rFonts w:ascii="David" w:cs="David" w:hAnsi="David"/>
          <w:noProof/>
          <w:sz w:val="24"/>
          <w:szCs w:val="24"/>
          <w:rtl/>
        </w:rPr>
        <w:t xml:space="preserve"/>
      </w:r>
    </w:p>
    <w:p>
      <w:pPr>
        <w:bidi/>
        <w:spacing w:line="480"/>
        <w:jc w:val="center"/>
      </w:pPr>
      <w:r>
        <w:rPr>
          <w:rFonts w:ascii="David" w:cs="David" w:hAnsi="David"/>
          <w:noProof/>
          <w:sz w:val="24"/>
          <w:szCs w:val="24"/>
          <w:rtl/>
        </w:rPr>
        <w:t xml:space="preserve">שם המגיש/ה: ____________     ת"ז: ____________</w:t>
      </w:r>
    </w:p>
    <w:p>
      <w:pPr>
        <w:bidi/>
        <w:spacing w:line="480"/>
        <w:jc w:val="center"/>
      </w:pPr>
      <w:r>
        <w:rPr>
          <w:rFonts w:ascii="David" w:cs="David" w:hAnsi="David"/>
          <w:noProof/>
          <w:sz w:val="24"/>
          <w:szCs w:val="24"/>
          <w:rtl/>
        </w:rPr>
        <w:t xml:space="preserve"/>
      </w:r>
    </w:p>
    <w:p>
      <w:pPr>
        <w:bidi/>
        <w:spacing w:line="480"/>
        <w:jc w:val="center"/>
      </w:pPr>
      <w:r>
        <w:rPr>
          <w:rFonts w:ascii="David" w:cs="David" w:hAnsi="David"/>
          <w:noProof/>
          <w:sz w:val="24"/>
          <w:szCs w:val="24"/>
          <w:rtl/>
        </w:rPr>
        <w:t xml:space="preserve">תאריך: אלול תשפ"ו, אוגוסט 2026</w:t>
      </w:r>
    </w:p>
    <w:p>
      <w:r>
        <w:br w:type="page"/>
      </w:r>
    </w:p>
    <w:p>
      <w:pPr>
        <w:bidi/>
        <w:spacing w:line="480"/>
        <w:jc w:val="both"/>
      </w:pPr>
      <w:r>
        <w:rPr>
          <w:rFonts w:ascii="David" w:cs="David" w:hAnsi="David"/>
          <w:b/>
          <w:bCs/>
          <w:noProof/>
          <w:sz w:val="24"/>
          <w:szCs w:val="24"/>
          <w:rtl/>
        </w:rPr>
        <w:t xml:space="preserve">שאלה 1</w:t>
      </w:r>
    </w:p>
    <w:p>
      <w:pPr>
        <w:bidi/>
        <w:spacing w:line="480"/>
        <w:jc w:val="both"/>
      </w:pPr>
      <w:r>
        <w:rPr>
          <w:rFonts w:ascii="David" w:cs="David" w:hAnsi="David"/>
          <w:noProof/>
          <w:sz w:val="24"/>
          <w:szCs w:val="24"/>
          <w:rtl/>
        </w:rPr>
        <w:t xml:space="preserve">הדיאלוג המלי הוא קטע מתוך החיבור תולדות מלחמת פילופוניס שכתב תוקידידס, היסטוריון אתונאי שחי בקירוב בין 460 ל-400 לפנה"ס. תוקידידס שירת כמצביא במלחמה עצמה, הוגלה מאתונה לאחר כישלונו באמפיפוליס, וכתב את חיבורו במהלך המלחמה ולאחריה, בשלהי המאה החמישית לפנה"ס, כשהוא יודע כבר כיצד הסתיימה. הדיאלוג מופיע בספר החמישי, פרקים 84-116, ומתאר משא ומתן שנערך בשנת 416 לפנה"ס, בשנה השש-עשרה למלחמה שבין אתונה לספרטה, דווקא בתקופת שלום ניקיאס הרעוע, כשהלחימה הישירה בין שתי המעצמות שבתה. צבא אתונאי גדול, יותר משלושים אניות ובהן כאלף ומאתיים הופליטים אתונאים ועוד כאלף וחמש מאות מבעלי בריתם יושבי האיים, עגן באי מלוס בפיקודם של קליאומידיס בן ליקומידיס וטיסיאס בן טיסימאכוס. בטרם נפתח המצור שלחו המצביאים צירים אל הנהגת האי (תוקידידס, 1959, ה 84).</w:t>
      </w:r>
    </w:p>
    <w:p>
      <w:pPr>
        <w:bidi/>
        <w:spacing w:line="480"/>
        <w:jc w:val="both"/>
      </w:pPr>
      <w:r>
        <w:rPr>
          <w:rFonts w:ascii="David" w:cs="David" w:hAnsi="David"/>
          <w:noProof/>
          <w:sz w:val="24"/>
          <w:szCs w:val="24"/>
          <w:rtl/>
        </w:rPr>
        <w:t xml:space="preserve">האתונאים שבדיאלוג הם שליחיה של המעצמה הימית ששלטה באיי הים האגאי, והמליים הם חברי השלטונות ומועצת המועטים של מלוס, אי קטן שתושביו היו מתיישבים יוצאי ספרטה. מטעם זה סירבו המליים להצטרף לברית האתונאית וביקשו לשבת בשלווה כניטרלים. האיבה נבעה מן הדרישה האתונאית לשעבוד: בעיני אתונה, אי שנותר חופשי בלב ים שבשליטתה נתפס כעדות לחולשתה, ומשסירבה מלוס להיכנע השחיתו האתונאים את אדמתה והביאו אותה לידי מלחמה גלויה (תוקידידס, 1959, ה 84, 97). גם צורתו של הקטע חריגה: תוקידידס נוהג למסור נאומים ארוכים, אך כאן בחר בחילופי דברים קצרים וחדים, כמעט מחזה. המליים עצמם ביקשו שהשיחה לא תתקיים לפני אסיפת העם אלא לפני המועצה המצומצמת, והאתונאים עקצו אותם על שחששו מדברים רצופים שיפתו את ההמון (תוקידידס, 1959, ה 84-85).</w:t>
      </w:r>
    </w:p>
    <w:p>
      <w:pPr>
        <w:bidi/>
        <w:spacing w:line="480"/>
        <w:jc w:val="both"/>
      </w:pPr>
      <w:r>
        <w:rPr>
          <w:rFonts w:ascii="David" w:cs="David" w:hAnsi="David"/>
          <w:noProof/>
          <w:sz w:val="24"/>
          <w:szCs w:val="24"/>
          <w:rtl/>
        </w:rPr>
        <w:t xml:space="preserve">שני הקולות שבדיאלוג מגלמים שתי תפיסות עולם. האתונאים מייצגים ריאלפוליטיק צרוף: כבר בפתיחה הם מסלקים מן הדיון את שאלת הצדק וקובעים כי בין צדדים שאינם שווים בכוחם ידובר בתועלת בלבד, שכן החזק עושה מה שבכוחו והחלש נכנע (תוקידידס, 1959, ה 89). ברוח זו הם מציגים את השנאה כגילוי של כוח, את הידידות כסימן חולשה, ואת השלטון כחוק טבע החל אף על האלים (תוקידידס, 1959, ה 95, 105). המליים מייצגים אידיאליזם: אמונה בצדקת עניינם, בתקוות המזל, בחסד האלים העומדים לימין יראי שמים, בנאמנותה של ספרטה קרובת הדם, ונכונות לסכן הכול ובלבד שלא לאבד חירות שעמדה להם שבע מאות שנה (תוקידידס, 1959, ה 104, 106, 112).</w:t>
      </w:r>
    </w:p>
    <w:p>
      <w:pPr>
        <w:bidi/>
        <w:spacing w:line="480"/>
        <w:jc w:val="both"/>
      </w:pPr>
      <w:r>
        <w:rPr>
          <w:rFonts w:ascii="David" w:cs="David" w:hAnsi="David"/>
          <w:b/>
          <w:bCs/>
          <w:noProof/>
          <w:sz w:val="24"/>
          <w:szCs w:val="24"/>
          <w:rtl/>
        </w:rPr>
        <w:t xml:space="preserve">שאלה 2</w:t>
      </w:r>
    </w:p>
    <w:tbl>
      <w:tblPr>
        <w:bidiVisual/>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050"/>
      </w:tblGrid>
      <w:tr>
        <w:trPr>
          <w:tblHeader/>
        </w:trPr>
        <w:tc>
          <w:tcPr>
            <w:tcW w:type="dxa" w:w="3050"/>
            <w:shd w:fill="EFEFEF" w:val="clear"/>
            <w:tcMar>
              <w:top w:type="dxa" w:w="80"/>
              <w:left w:type="dxa" w:w="120"/>
              <w:bottom w:type="dxa" w:w="80"/>
              <w:right w:type="dxa" w:w="120"/>
            </w:tcMar>
          </w:tcPr>
          <w:p>
            <w:pPr>
              <w:bidi/>
              <w:spacing w:line="276"/>
              <w:jc w:val="both"/>
            </w:pPr>
            <w:r>
              <w:rPr>
                <w:rFonts w:ascii="David" w:cs="David" w:hAnsi="David"/>
                <w:b/>
                <w:bCs/>
                <w:noProof/>
                <w:sz w:val="24"/>
                <w:szCs w:val="24"/>
                <w:rtl/>
              </w:rPr>
              <w:t xml:space="preserve">טיעוני האתונאים</w:t>
            </w:r>
          </w:p>
        </w:tc>
        <w:tc>
          <w:tcPr>
            <w:tcW w:type="dxa" w:w="3050"/>
            <w:shd w:fill="EFEFEF" w:val="clear"/>
            <w:tcMar>
              <w:top w:type="dxa" w:w="80"/>
              <w:left w:type="dxa" w:w="120"/>
              <w:bottom w:type="dxa" w:w="80"/>
              <w:right w:type="dxa" w:w="120"/>
            </w:tcMar>
          </w:tcPr>
          <w:p>
            <w:pPr>
              <w:bidi/>
              <w:spacing w:line="276"/>
              <w:jc w:val="both"/>
            </w:pPr>
            <w:r>
              <w:rPr>
                <w:rFonts w:ascii="David" w:cs="David" w:hAnsi="David"/>
                <w:b/>
                <w:bCs/>
                <w:noProof/>
                <w:sz w:val="24"/>
                <w:szCs w:val="24"/>
                <w:rtl/>
              </w:rPr>
              <w:t xml:space="preserve">תשובת המליים</w:t>
            </w:r>
          </w:p>
        </w:tc>
        <w:tc>
          <w:tcPr>
            <w:tcW w:type="dxa" w:w="3050"/>
            <w:shd w:fill="EFEFEF" w:val="clear"/>
            <w:tcMar>
              <w:top w:type="dxa" w:w="80"/>
              <w:left w:type="dxa" w:w="120"/>
              <w:bottom w:type="dxa" w:w="80"/>
              <w:right w:type="dxa" w:w="120"/>
            </w:tcMar>
          </w:tcPr>
          <w:p>
            <w:pPr>
              <w:bidi/>
              <w:spacing w:line="276"/>
              <w:jc w:val="both"/>
            </w:pPr>
            <w:r>
              <w:rPr>
                <w:rFonts w:ascii="David" w:cs="David" w:hAnsi="David"/>
                <w:b/>
                <w:bCs/>
                <w:noProof/>
                <w:sz w:val="24"/>
                <w:szCs w:val="24"/>
                <w:rtl/>
              </w:rPr>
              <w:t xml:space="preserve">דעתי</w:t>
            </w:r>
          </w:p>
        </w:tc>
      </w:tr>
      <w:tr>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אין טעם לדבר על צדק: הוא מוכרע רק בין שווים בכוחם. החזק עושה מה שבכוחו והחלש נכנע (ה 89).</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גם לחזק יש עניין לשמור על עקרון ההגינות, שהרי יום אחד עלול גם הוא ליפול ולהזדקק לו (ה 90).</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טענת המליים חזקה יותר לטווח הארוך: אתונה עצמה נפלה בשנת 404 והייתה תלויה בחסד מנצחיה, בדיוק כפי שהזהירו המליים.</w:t>
            </w:r>
          </w:p>
        </w:tc>
      </w:tr>
      <w:tr>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כניעתכם מועילה לשני הצדדים: אתם תינצלו מחורבן ואנחנו נרוויח שלטון ללא מלחמה מיותרת (ה 91, 93).</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מדוע ששעבוד ייחשב בעינינו תועלת? הניחו לנו להיות ידידים לשני הצדדים ובני ברית של איש מהם (ה 92, 94).</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כאן האתונאים כנים יותר: הם לפחות מציעים עסקה מפורשת של חיים תמורת חירות, ואילו הצעת הידידות המלית מתעלמת ממאזן הכוחות בפועל.</w:t>
            </w:r>
          </w:p>
        </w:tc>
      </w:tr>
      <w:tr>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ניטרליות שלכם אינה אפשרית: ידידות עם אי חלש תתפרש כחולשתנו, ואילו שנאתכם היא גילוי של כוחנו כלפי המשועבדים (ה 95, 97).</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מדיניות כזאת תהפוך לאויביכם את כל הניטרלים בעולם היווני, שיבינו כי בבוא היום תבואו גם עליהם (ה 98).</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טענת המליים מדויקת פוליטית ומתממשת בהמשך המלחמה, אך היא לא הועילה להם: החשבון האתונאי הצר גבר באותו רגע.</w:t>
            </w:r>
          </w:p>
        </w:tc>
      </w:tr>
      <w:tr>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אין כאן תחרות בין שווים על כבוד גיבורים אלא שאלה של הישרדות. אין חרפה להיכנע למעצמה העולה עליכם לאין ערוך, ורגש הכבוד הוא שם מדיח שהפיל בני אדם אל אסונות בעיניים פקוחות (ה 101, 111).</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כניעה בלא קרב היא שפלות ופחדנות. כל עוד אנו עומדים יש תקווה, ומוטב ליפול במאבק מלוותר מראש על חירותנו (ה 100, 102).</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כאן אין הכרעה עובדתית אלא ערכית: האתונאים צודקים תועלתנית, אבל המליים מבינים שקהילה שתמכור את זהותה כדי לשרוד לא תישאר הקהילה שביקשה לשרוד.</w:t>
            </w:r>
          </w:p>
        </w:tc>
      </w:tr>
      <w:tr>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אל תיתלו בתקווה, במזל, באלים או בספרטה. התקווה מנחמת ומחריבה, גם האלים שולטים בכל מקום שכוחם מגיע, וספרטה רואה את הנעים לה כנאה ואת המועיל לה כצודק, ולא תסתכן למענכם (ה 103, 105, 109).</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המזל אינו נושא פנים, האלים יעמדו לימין יראי האלוהים הניצבים מול עושי עוול, וספרטה תחוש לעזרתנו מחמת קרבת הדם ומפני הבושה (ה 104, 106, 108).</w:t>
            </w:r>
          </w:p>
        </w:tc>
        <w:tc>
          <w:tcPr>
            <w:tcW w:type="dxa" w:w="3050"/>
            <w:tcMar>
              <w:top w:type="dxa" w:w="80"/>
              <w:left w:type="dxa" w:w="120"/>
              <w:bottom w:type="dxa" w:w="80"/>
              <w:right w:type="dxa" w:w="120"/>
            </w:tcMar>
          </w:tcPr>
          <w:p>
            <w:pPr>
              <w:bidi/>
              <w:spacing w:line="276"/>
              <w:jc w:val="both"/>
            </w:pPr>
            <w:r>
              <w:rPr>
                <w:rFonts w:ascii="David" w:cs="David" w:hAnsi="David"/>
                <w:noProof/>
                <w:sz w:val="24"/>
                <w:szCs w:val="24"/>
                <w:rtl/>
              </w:rPr>
              <w:t xml:space="preserve">בנקודה זו צדקו האתונאים לחלוטין: ספרטה לא באה, המזל לא התהפך והאלים לא התערבו. זה החלק המפוכח והמדויק ביותר בעמדתם.</w:t>
            </w:r>
          </w:p>
        </w:tc>
      </w:tr>
    </w:tbl>
    <w:p>
      <w:pPr>
        <w:bidi/>
        <w:spacing w:line="480"/>
        <w:jc w:val="both"/>
      </w:pPr>
      <w:r>
        <w:rPr>
          <w:rFonts w:ascii="David" w:cs="David" w:hAnsi="David"/>
          <w:noProof/>
          <w:sz w:val="24"/>
          <w:szCs w:val="24"/>
          <w:rtl/>
        </w:rPr>
        <w:t xml:space="preserve"/>
      </w:r>
    </w:p>
    <w:p>
      <w:pPr>
        <w:bidi/>
        <w:spacing w:line="480"/>
        <w:jc w:val="both"/>
      </w:pPr>
      <w:r>
        <w:rPr>
          <w:rFonts w:ascii="David" w:cs="David" w:hAnsi="David"/>
          <w:noProof/>
          <w:sz w:val="24"/>
          <w:szCs w:val="24"/>
          <w:rtl/>
        </w:rPr>
        <w:t xml:space="preserve">במבט כולל, בכל סעיף וסעיף ניתחו האתונאים את המציאות המיידית טוב יותר, והאירועים שבפרקים 114-116 הוכיחו זאת במחיר נורא. ובכל זאת הטיעון המלי הראשון נראה לי המנצח האמיתי של הדיאלוג: סדר עולמי שבו החזק קובע לבדו אינו יציב, מפני שהכלל שניסח סופו לפגוע גם בו. אתונה של 404, המובסת והנצורה, נזקקה בדיוק לאותה הגינות שסירבה להעניק במלוס, וניצלה רק מפני שמנצחיה לא נהגו בה כפי שנהגה היא.</w:t>
      </w:r>
    </w:p>
    <w:p>
      <w:pPr>
        <w:bidi/>
        <w:spacing w:line="480"/>
        <w:jc w:val="both"/>
      </w:pPr>
      <w:r>
        <w:rPr>
          <w:rFonts w:ascii="David" w:cs="David" w:hAnsi="David"/>
          <w:b/>
          <w:bCs/>
          <w:noProof/>
          <w:sz w:val="24"/>
          <w:szCs w:val="24"/>
          <w:rtl/>
        </w:rPr>
        <w:t xml:space="preserve">שאלה 3</w:t>
      </w:r>
    </w:p>
    <w:p>
      <w:pPr>
        <w:bidi/>
        <w:spacing w:line="480"/>
        <w:jc w:val="both"/>
      </w:pPr>
      <w:r>
        <w:rPr>
          <w:rFonts w:ascii="David" w:cs="David" w:hAnsi="David"/>
          <w:noProof/>
          <w:sz w:val="24"/>
          <w:szCs w:val="24"/>
          <w:rtl/>
        </w:rPr>
        <w:t xml:space="preserve">מומיליאנו (1980) מתאר התפתחות הדרגתית ביחסם של ההיסטוריונים העתיקים לגורמי המלחמה. אצל הומרוס המלחמה היא מצב טבעי של חיי האדם, מובן מאליו כלידה וכמוות, ולכן אין הוא שואל כלל מדוע פורצות מלחמות. מה שמעסיק אותו הוא מניעיהם האישיים של הלוחמים: זעם, כבוד, נקמה, שלל ותהילה, ולעתים רצונו של לוחם להוכיח את עצמו דווקא מפני שמישהו אמר עליו אחרת. הרודוטוס כבר פותח את חיבורו בשאלת הסיבה, אך ה-aitia שלו קרובה יותר לתלונה או להאשמה מאשר לסיבה במובן המודרני: שרשרת של חטיפות, עוולות ומעשי תגמול הדדיים בין מזרח למערב, שבסופה מסע הכיבוש הפרסי. מאחורי השרשרת הזאת עומד אצלו מאבקה של החירות היוונית (eleutheria) בשעבוד, ומומיליאנו מעיר כי הרודוטוס אינו בוחן את רלוונטיות הסיבות שהוא מונה, אלא אוסף את מה שהצדדים עצמם טענו (מומיליאנו, 1980).</w:t>
      </w:r>
    </w:p>
    <w:p>
      <w:pPr>
        <w:bidi/>
        <w:spacing w:line="480"/>
        <w:jc w:val="both"/>
      </w:pPr>
      <w:r>
        <w:rPr>
          <w:rFonts w:ascii="David" w:cs="David" w:hAnsi="David"/>
          <w:noProof/>
          <w:sz w:val="24"/>
          <w:szCs w:val="24"/>
          <w:rtl/>
        </w:rPr>
        <w:t xml:space="preserve">תוקידידס הוא הראשון שהפך את גורמי המלחמה לבעיית מחקר של ממש. בפרק 23 של ספרו הראשון הוא מבחין בין העילות הגלויות, המדוברות בפי כול, ובין הסיבה האמיתית ביותר, הנסתרת מן הדיבורים: עליית כוחה של אתונה והפחד שהטילה על ספרטה. לצד הפחד פועל אצלו ההכרח (ananke) השולט בענייני בני האדם. פוליביוס השלים את המהלך וקבע טרמינולוגיה סדורה המבחינה בין סיבה (aitia), אמתלה (prophasis) והתחלה (arche). כך, במסעו של אלכסנדר נגד פרס שימשו מסעות קסנופון ואגסילאוס סיבה שהוכיחה את חולשת הפרסים, הנקמה על פלישות העבר הייתה האמתלה, וחציית ההלספונט הייתה ההתחלה. פוליביוס אף הרחיב את המבט אל גורמים פוליטיים וחוקתיים ארוכי טווח (מומיליאנו, 1980).</w:t>
      </w:r>
    </w:p>
    <w:p>
      <w:pPr>
        <w:bidi/>
        <w:spacing w:line="480"/>
        <w:jc w:val="both"/>
      </w:pPr>
      <w:r>
        <w:rPr>
          <w:rFonts w:ascii="David" w:cs="David" w:hAnsi="David"/>
          <w:noProof/>
          <w:sz w:val="24"/>
          <w:szCs w:val="24"/>
          <w:rtl/>
        </w:rPr>
        <w:t xml:space="preserve">כל הגורמים האלה נוכחים בדיאלוג המלי. הגורם התוקידידי הוא לבו של המעמד: לאתונאים אין שום תלונה על עוול מלי, ומניעיהם הם כוח ופחד בלבד, שכן חירותה של מלוס עלולה להתפרש כחולשה אתונאית בעיני המשועבדים (תוקידידס, 1959, ה 95, 97). לשון ההכרח מופיעה במפורש כשהאתונאים טוענים כי מתוך כורח טבעם שולטים האלים ובני האדם בכל מקום שכוחם מגיע (תוקידידס, 1959, ה 105). הגורם ההומרי, הכבוד, עולה דווקא מפי המליים, המסרבים להיכנע בלא קרב מפני הבושה והחרפה, והאתונאים משיבים כי רגש הכבוד הוא שם מדיח שהפיל בני אדם לאסונות (תוקידידס, 1959, ה 100, 111). מניע החירות ההרודוטי פועם בסירובם של המליים לוותר על חירות בת שבע מאות שנה (תוקידידס, 1959, ה 112). ואילו ההבחנה הפוליביאנית מסבירה מה חריג כאן: במלוס אין אפילו אמתלה, והסיבה האמיתית, שבמלחמות אחרות מוסתרת מאחורי תירוצים, נאמרת בקול רם מפי התוקפים עצמם. מומיליאנו אף מונה במפורש את הריסת מלוס עם המעשים שבני הזמן ראו בהם התנגשות גלויה בין חירות ובין הכרח (מומיליאנו, 1980).</w:t>
      </w:r>
    </w:p>
    <w:p>
      <w:pPr>
        <w:bidi/>
        <w:spacing w:line="480"/>
        <w:jc w:val="both"/>
      </w:pPr>
      <w:r>
        <w:rPr>
          <w:rFonts w:ascii="David" w:cs="David" w:hAnsi="David"/>
          <w:b/>
          <w:bCs/>
          <w:noProof/>
          <w:sz w:val="24"/>
          <w:szCs w:val="24"/>
          <w:rtl/>
        </w:rPr>
        <w:t xml:space="preserve">שאלה 4</w:t>
      </w:r>
    </w:p>
    <w:p>
      <w:pPr>
        <w:bidi/>
        <w:spacing w:line="480"/>
        <w:jc w:val="both"/>
      </w:pPr>
      <w:r>
        <w:rPr>
          <w:rFonts w:ascii="David" w:cs="David" w:hAnsi="David"/>
          <w:noProof/>
          <w:sz w:val="24"/>
          <w:szCs w:val="24"/>
          <w:rtl/>
        </w:rPr>
        <w:t xml:space="preserve">אמירתו של הלורד אקטון (1887), שלפיה כוח נוטה להשחית וכוח מוחלט משחית באופן מוחלט, מתממשת בדיאלוג המלי בשלושה מובנים: השחתת המוסר, השחתת המחשבה והשחתת שיקול הדעת. במישור המוסרי, אתונה של 416 לפנה"ס כה בטוחה בכוחה עד שאינה טורחת עוד אפילו להעמיד פנים. בפרק 89 מנוסח הדבר בגלוי: "ונשאף להשיג מה שניתן להשיג, שכן אתם יודעים כמונו, שבעניינים האנושיים הצדק בא על אישורו רק כשכוחם של שני הצדדים שקול, ושהחזקים מבצעים את מה שבכוחם לעשות והחלשים נכנעים בפניהם וסובלים" (תוקידידס, 1959, ה 89). המשפט הזה הוא כמעט ניסוח מוקדם של אקטון: הצדק מתקיים רק כשיש שקילות כוחות, כלומר רק כשקיים בלם חיצוני. משנעלם הבלם, נעלם הצדק עצמו. התוצאה מתוארת בפרק 116: לאחר הכניעה הרגו האתונאים את כל הגברים המבוגרים, מכרו את הנשים והילדים לעבדות ושלחו חמש מאות מתיישבים ליישב את האי (תוקידידס, 1959, ה 116). כוח מוחלט מול אי זעיר הוליד זוועה מוחלטת.</w:t>
      </w:r>
    </w:p>
    <w:p>
      <w:pPr>
        <w:bidi/>
        <w:spacing w:line="480"/>
        <w:jc w:val="both"/>
      </w:pPr>
      <w:r>
        <w:rPr>
          <w:rFonts w:ascii="David" w:cs="David" w:hAnsi="David"/>
          <w:noProof/>
          <w:sz w:val="24"/>
          <w:szCs w:val="24"/>
          <w:rtl/>
        </w:rPr>
        <w:t xml:space="preserve">המובן השני הוא השחתת המחשבה. בפרק 105 מרוממים האתונאים את יתרונם הצבאי לדרגת חוק טבע נצחי, שלא הם קבעוהו והוא יעמוד לדורות, חוק החולש אפילו על האלים (תוקידידס, 1959, ה 105). כשהכוח מנסח את עצמו כחוק קוסמי, הוא כבר איבד את היכולת לראות את עצמו מבחוץ, וזו ההשחתה שאקטון מדבר עליה: לא רשעות פשוטה אלא עיוורון של מי שאין עליו דין. המובן השלישי נוגע לשיקול הדעת של אתונה עצמה. תוקידידס סמך את פרשת מלוס אל פתיחת הספר השישי, המספר כיצד באותו חורף ממש החליטו האתונאים, רובם בלא לדעת דבר על גודל האי, להפליג ולכבוש את סיציליה (תוקידידס, 1959, ו 1). המסע ההוא הסתיים באובדן הצי ומיטב הכוחות, ובשנת 404 נכנעה אתונה בעצמה, כשגורלה של מלוס מרחף מעל ראשה והיא ניצלת ממנו רק בזכות מתינות מנצחיה. החוק שניסחו האתונאים במלוס חזר אפוא ופגע בהם: הכוח המוחלט השחית תחילה את מוסרה של אתונה, אחר כך את מחשבתה, ולבסוף את תבונתה המעשית.</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2026-08-27T17:07:12.481Z</dcterms:created>
  <dcterms:modified xsi:type="dcterms:W3CDTF">2026-08-27T17:07:12.481Z</dcterms:modified>
</cp:coreProperties>
</file>

<file path=docProps/custom.xml><?xml version="1.0" encoding="utf-8"?>
<Properties xmlns="http://schemas.openxmlformats.org/officeDocument/2006/custom-properties" xmlns:vt="http://schemas.openxmlformats.org/officeDocument/2006/docPropsVTypes"/>
</file>