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bidi/>
        <w:spacing w:after="120" w:before="1200" w:line="360"/>
        <w:jc w:val="center"/>
      </w:pPr>
      <w:r>
        <w:rPr>
          <w:rFonts w:ascii="David" w:cs="David" w:eastAsia="David" w:hAnsi="David"/>
          <w:b/>
          <w:bCs/>
          <w:sz w:val="32"/>
          <w:szCs w:val="32"/>
          <w:rtl/>
        </w:rPr>
        <w:t xml:space="preserve">האוניברסיטה הפתוחה</w:t>
      </w:r>
    </w:p>
    <w:p>
      <w:pPr>
        <w:bidi/>
        <w:spacing w:after="120" w:before="0" w:line="360"/>
        <w:jc w:val="center"/>
      </w:pPr>
      <w:r>
        <w:rPr>
          <w:rFonts w:ascii="David" w:cs="David" w:eastAsia="David" w:hAnsi="David"/>
          <w:b w:val="false"/>
          <w:bCs w:val="false"/>
          <w:sz w:val="26"/>
          <w:szCs w:val="26"/>
          <w:rtl/>
        </w:rPr>
        <w:t xml:space="preserve">המחלקה להיסטוריה, פילוסופיה ומדעי היהדות</w:t>
      </w:r>
    </w:p>
    <w:p>
      <w:pPr>
        <w:bidi/>
        <w:spacing w:after="120" w:before="0" w:line="360"/>
        <w:jc w:val="center"/>
      </w:pPr>
      <w:r>
        <w:rPr>
          <w:rFonts w:ascii="David" w:cs="David" w:eastAsia="David" w:hAnsi="David"/>
          <w:b w:val="false"/>
          <w:bCs w:val="false"/>
          <w:sz w:val="26"/>
          <w:szCs w:val="26"/>
          <w:rtl/>
        </w:rPr>
        <w:t xml:space="preserve">קורס 10305 – האנטישמיות במאה ה-19</w:t>
      </w:r>
    </w:p>
    <w:p>
      <w:pPr>
        <w:bidi/>
        <w:spacing w:after="120" w:before="1600" w:line="360"/>
        <w:jc w:val="center"/>
      </w:pPr>
      <w:r>
        <w:rPr>
          <w:rFonts w:ascii="David" w:cs="David" w:eastAsia="David" w:hAnsi="David"/>
          <w:b/>
          <w:bCs/>
          <w:sz w:val="28"/>
          <w:szCs w:val="28"/>
          <w:rtl/>
        </w:rPr>
        <w:t xml:space="preserve">עבודה סמינריונית</w:t>
      </w:r>
    </w:p>
    <w:p>
      <w:pPr>
        <w:bidi/>
        <w:spacing w:after="120" w:before="400" w:line="360"/>
        <w:jc w:val="center"/>
      </w:pPr>
      <w:r>
        <w:rPr>
          <w:rFonts w:ascii="David" w:cs="David" w:eastAsia="David" w:hAnsi="David"/>
          <w:b/>
          <w:bCs/>
          <w:sz w:val="34"/>
          <w:szCs w:val="34"/>
          <w:rtl/>
        </w:rPr>
        <w:t xml:space="preserve">השפעת פרשת דרייפוס על התפתחות הגותו הציונית של תיאודור הרצל:</w:t>
      </w:r>
    </w:p>
    <w:p>
      <w:pPr>
        <w:bidi/>
        <w:spacing w:after="120" w:before="0" w:line="360"/>
        <w:jc w:val="center"/>
      </w:pPr>
      <w:r>
        <w:rPr>
          <w:rFonts w:ascii="David" w:cs="David" w:eastAsia="David" w:hAnsi="David"/>
          <w:b/>
          <w:bCs/>
          <w:sz w:val="30"/>
          <w:szCs w:val="30"/>
          <w:rtl/>
        </w:rPr>
        <w:t xml:space="preserve">מהתבוללות ללאומיות יהודית</w:t>
      </w:r>
    </w:p>
    <w:p>
      <w:pPr>
        <w:bidi/>
        <w:spacing w:after="120" w:before="1600" w:line="360"/>
        <w:jc w:val="center"/>
      </w:pPr>
      <w:r>
        <w:rPr>
          <w:rFonts w:ascii="David" w:cs="David" w:eastAsia="David" w:hAnsi="David"/>
          <w:b w:val="false"/>
          <w:bCs w:val="false"/>
          <w:sz w:val="26"/>
          <w:szCs w:val="26"/>
          <w:rtl/>
        </w:rPr>
        <w:t xml:space="preserve">מגיש/ה: ____________________</w:t>
      </w:r>
    </w:p>
    <w:p>
      <w:pPr>
        <w:bidi/>
        <w:spacing w:after="120" w:before="0" w:line="360"/>
        <w:jc w:val="center"/>
      </w:pPr>
      <w:r>
        <w:rPr>
          <w:rFonts w:ascii="David" w:cs="David" w:eastAsia="David" w:hAnsi="David"/>
          <w:b w:val="false"/>
          <w:bCs w:val="false"/>
          <w:sz w:val="26"/>
          <w:szCs w:val="26"/>
          <w:rtl/>
        </w:rPr>
        <w:t xml:space="preserve">מספר זהות: ____________________</w:t>
      </w:r>
    </w:p>
    <w:p>
      <w:pPr>
        <w:bidi/>
        <w:spacing w:after="120" w:before="0" w:line="360"/>
        <w:jc w:val="center"/>
      </w:pPr>
      <w:r>
        <w:rPr>
          <w:rFonts w:ascii="David" w:cs="David" w:eastAsia="David" w:hAnsi="David"/>
          <w:b w:val="false"/>
          <w:bCs w:val="false"/>
          <w:sz w:val="26"/>
          <w:szCs w:val="26"/>
          <w:rtl/>
        </w:rPr>
        <w:t xml:space="preserve">מדריך/ת העבודה: ____________________</w:t>
      </w:r>
    </w:p>
    <w:p>
      <w:pPr>
        <w:bidi/>
        <w:spacing w:after="120" w:before="0" w:line="360"/>
        <w:jc w:val="center"/>
      </w:pPr>
      <w:r>
        <w:rPr>
          <w:rFonts w:ascii="David" w:cs="David" w:eastAsia="David" w:hAnsi="David"/>
          <w:b w:val="false"/>
          <w:bCs w:val="false"/>
          <w:sz w:val="26"/>
          <w:szCs w:val="26"/>
          <w:rtl/>
        </w:rPr>
        <w:t xml:space="preserve">מרכזת ההוראה בקורס: ד"ר חגית כהן</w:t>
      </w:r>
    </w:p>
    <w:p>
      <w:pPr>
        <w:bidi/>
        <w:spacing w:after="120" w:before="0" w:line="360"/>
        <w:jc w:val="center"/>
      </w:pPr>
      <w:r>
        <w:rPr>
          <w:rFonts w:ascii="David" w:cs="David" w:eastAsia="David" w:hAnsi="David"/>
          <w:b w:val="false"/>
          <w:bCs w:val="false"/>
          <w:sz w:val="26"/>
          <w:szCs w:val="26"/>
          <w:rtl/>
        </w:rPr>
        <w:t xml:space="preserve">תשפ"ו</w:t>
      </w:r>
    </w:p>
    <w:p>
      <w:r>
        <w:br w:type="page"/>
      </w:r>
    </w:p>
    <w:p>
      <w:pPr>
        <w:pStyle w:val="Heading1"/>
        <w:pageBreakBefore/>
        <w:bidi/>
        <w:spacing w:after="160" w:before="360" w:line="360"/>
        <w:jc w:val="right"/>
      </w:pPr>
      <w:r>
        <w:rPr>
          <w:rFonts w:ascii="David" w:cs="David" w:eastAsia="David" w:hAnsi="David"/>
          <w:b/>
          <w:bCs/>
          <w:sz w:val="32"/>
          <w:szCs w:val="32"/>
          <w:rtl/>
        </w:rPr>
        <w:t xml:space="preserve">תוכן העניינים</w:t>
      </w:r>
    </w:p>
    <w:sdt>
      <w:sdtPr>
        <w:alias w:val="תוכן העניינים"/>
      </w:sdtPr>
      <w:sdtContent>
        <w:p>
          <w:r>
            <w:fldChar w:fldCharType="begin" w:dirty="true"/>
            <w:instrText xml:space="preserve">TOC \h \o "1-2"</w:instrText>
            <w:fldChar w:fldCharType="separate"/>
          </w:r>
        </w:p>
        <w:p>
          <w:r>
            <w:fldChar w:fldCharType="end"/>
          </w:r>
        </w:p>
      </w:sdtContent>
    </w:sdt>
    <w:p>
      <w:r>
        <w:br w:type="page"/>
      </w:r>
    </w:p>
    <w:p>
      <w:pPr>
        <w:pStyle w:val="Heading1"/>
        <w:pageBreakBefore/>
        <w:bidi/>
        <w:spacing w:after="160" w:before="360" w:line="360"/>
        <w:jc w:val="right"/>
      </w:pPr>
      <w:r>
        <w:rPr>
          <w:rFonts w:ascii="David" w:cs="David" w:eastAsia="David" w:hAnsi="David"/>
          <w:b/>
          <w:bCs/>
          <w:sz w:val="32"/>
          <w:szCs w:val="32"/>
          <w:rtl/>
        </w:rPr>
        <w:t xml:space="preserve">מבוא</w:t>
      </w:r>
    </w:p>
    <w:p>
      <w:pPr>
        <w:bidi/>
        <w:spacing w:after="120" w:line="360" w:lineRule="auto"/>
        <w:jc w:val="right"/>
      </w:pPr>
      <w:r>
        <w:rPr>
          <w:rFonts w:ascii="David" w:cs="David" w:eastAsia="David" w:hAnsi="David"/>
          <w:sz w:val="24"/>
          <w:szCs w:val="24"/>
          <w:rtl/>
        </w:rPr>
        <w:t xml:space="preserve">בחמישה בינואר 1895 נערך בחצר בית הספר הצבאי בפריז טקס הורדת הדרגות של הקפטן אלפרד דרייפוס, קצין יהודי ממוצא אלזסי שהורשע בבגידה. בין הכתבים שסיקרו את הטקס עמד תיאודור (בנימין זאב) הרצל, כתבו הפריזאי של העיתון הווינאי "נויה פרייה פרסה". ארבע שנים לאחר מכן, כשהוא כבר עומד בראש התנועה הציונית, כתב הרצל שמשפט דרייפוס הוא שעשה אותו לציוני .</w:t>
      </w:r>
      <w:r>
        <w:rPr>
          <w:rStyle w:val="FootnoteReference"/>
        </w:rPr>
        <w:footnoteReference w:id="1"/>
      </w:r>
      <w:r>
        <w:rPr>
          <w:rFonts w:ascii="David" w:cs="David" w:eastAsia="David" w:hAnsi="David"/>
          <w:sz w:val="24"/>
          <w:szCs w:val="24"/>
          <w:rtl/>
        </w:rPr>
        <w:t xml:space="preserve"> אמירה זו הפכה לאחד מסיפורי היסוד של ההיסטוריה הציונית. ההיסטוריוגרפיה של העשורים האחרונים ערערה עליו מיסודו, והציעה במקומו תמונה שבה פרשת דרייפוס היא רק אחד מכמה גורמים שהביאו את הרצל אל הרעיון הציוני, ואולי לא החשוב שבהם .</w:t>
      </w:r>
      <w:r>
        <w:rPr>
          <w:rStyle w:val="FootnoteReference"/>
        </w:rPr>
        <w:footnoteReference w:id="2"/>
      </w:r>
    </w:p>
    <w:p>
      <w:pPr>
        <w:bidi/>
        <w:spacing w:after="120" w:line="360" w:lineRule="auto"/>
        <w:jc w:val="right"/>
      </w:pPr>
      <w:r>
        <w:rPr>
          <w:rFonts w:ascii="David" w:cs="David" w:eastAsia="David" w:hAnsi="David"/>
          <w:sz w:val="24"/>
          <w:szCs w:val="24"/>
          <w:rtl/>
        </w:rPr>
        <w:t xml:space="preserve">עבודה זו בוחנת את השפעתה של פרשת דרייפוס על המהפך בהגותו של הרצל: המעבר מתמיכה בהתבוללות ובאמנציפציה, שאפיינה אותו עד אמצע שנות התשעים של המאה התשע עשרה, אל ניסוח הרעיון הציוני המדיני בחוברת "מדינת היהודים" (1896) ואל כינוס הקונגרס הציוני הראשון (1897). שאלת המחקר היא: באיזו מידה הייתה פרשת דרייפוס גורם מכריע במעבר של הרצל מתמיכה בהתבוללות לגיבוש הרעיון הציוני המדיני, ומה היו הגורמים הנוספים שהשפיעו על מהפך זה?</w:t>
      </w:r>
    </w:p>
    <w:p>
      <w:pPr>
        <w:bidi/>
        <w:spacing w:after="120" w:line="360" w:lineRule="auto"/>
        <w:jc w:val="right"/>
      </w:pPr>
      <w:r>
        <w:rPr>
          <w:rFonts w:ascii="David" w:cs="David" w:eastAsia="David" w:hAnsi="David"/>
          <w:sz w:val="24"/>
          <w:szCs w:val="24"/>
          <w:rtl/>
        </w:rPr>
        <w:t xml:space="preserve">חשיבותו של הנושא כפולה. מבחינה היסטורית, השאלה נוגעת לאחד הרגעים המכוננים של הלאומיות היהודית המודרנית ולאופן שבו נולדים רעיונות פוליטיים מתוך מפגש בין ביוגרפיה אישית לבין תמורות חברתיות. מבחינה היסטוריוגרפית, המקרה של הרצל הוא דוגמה מובהקת לפער שבין מה שאדם כותב בזמן אמת לבין מה שהוא מספר על עצמו בדיעבד, ולדרך שבה סיפור עצמי של מנהיג הופך לזיכרון קולקטיבי של תנועה. הדיון נוגע גם לוויכוח הרחב יותר שבמרכז הקורס, בין הגישה הרואה באנטישמיות תופעה רצופה שהיהודים "מגלים" אותה בכל דור, לבין הגישה הדורשת להסביר כל תגובה יהודית בהקשרה הקונקרטי .</w:t>
      </w:r>
      <w:r>
        <w:rPr>
          <w:rStyle w:val="FootnoteReference"/>
        </w:rPr>
        <w:footnoteReference w:id="3"/>
      </w:r>
    </w:p>
    <w:p>
      <w:pPr>
        <w:bidi/>
        <w:spacing w:after="120" w:line="360" w:lineRule="auto"/>
        <w:jc w:val="right"/>
      </w:pPr>
      <w:r>
        <w:rPr>
          <w:rFonts w:ascii="David" w:cs="David" w:eastAsia="David" w:hAnsi="David"/>
          <w:sz w:val="24"/>
          <w:szCs w:val="24"/>
          <w:rtl/>
        </w:rPr>
        <w:t xml:space="preserve">העבודה בנויה משלושה פרקים. הפרק הראשון מציג את הרקע ההיסטורי: הביוגרפיה של הרצל עד ערב הפרשה, הופעת האנטישמיות המודרנית כמושג וכתנועה, והתנועות האנטישמיות בגרמניה, באוסטריה ובצרפת בשנות השמונים והתשעים של המאה התשע עשרה. הפרק השני מפרט את הגורמים שאינם קשורים לפרשת דרייפוס: מפגשיו המוקדמים של הרצל עם האנטישמיות בווינה, בית הספר הפוליטי של פריז, עליית קרל לואגר לשלטון בווינה בשנת 1895, המשבר האישי של הרצל והמחזה "הגטו החדש", ועדותו של הרצל עצמו ביומנו על מקורות הרעיון. הפרק השלישי מתמקד בפרשת דרייפוס: השתלשלותה, דיווחיו של הרצל ממנה, היעדרה מיומנו ומ"מדינת היהודים", התלקחותה המחודשת בשנים 1897-1899 ומקומה במאמרו של הרצל משנת 1899, וכן הוויכוח ההיסטוריוגרפי על משקלה. הסיכום חוזר אל שאלת המחקר.</w:t>
      </w:r>
    </w:p>
    <w:p>
      <w:pPr>
        <w:bidi/>
        <w:spacing w:after="120" w:line="360" w:lineRule="auto"/>
        <w:jc w:val="right"/>
      </w:pPr>
      <w:r>
        <w:rPr>
          <w:rFonts w:ascii="David" w:cs="David" w:eastAsia="David" w:hAnsi="David"/>
          <w:sz w:val="24"/>
          <w:szCs w:val="24"/>
          <w:rtl/>
        </w:rPr>
        <w:t xml:space="preserve">המסקנה שאליה מגיעה העבודה היא שיש להבחין בין שני שלבים. בשלב לידת הרעיון, מסתיו 1894 ועד פברואר 1896, לא הייתה פרשת דרייפוס גורם מכריע: הרצל קיבל בזמן אמת את אשמתו של דרייפוס, לא הזכיר את הפרשה ברשימת הגורמים שערך ביומנו ביוני 1895, ולא הזכיר אותה ב"מדינת היהודים". הגורמים שהכריעו היו היכרותו הממושכת עם האנטישמיות הגרמנית והאוסטרית, עליית לואגר בווינה, מה שלמד בפריז מן הפוליטיקה ההמונית ומתעמולת אדואר דרימון, והמשבר האישי שהיה נתון בו. בשלב ההפצה והמיסוד של התנועה, משלהי 1897 ואילך, הפכה הפרשה למרכזית: כראיה לכישלון האמנציפציה גם בארץ זכויות האדם, וכסיפור מוצא שהרצל עצמו עיצב. המיתוס לא היה אמת ביוגרפית, אך הוא היה עובדה היסטורית בעלת השפעה על התנועה הציונית .</w:t>
      </w:r>
      <w:r>
        <w:rPr>
          <w:rStyle w:val="FootnoteReference"/>
        </w:rPr>
        <w:footnoteReference w:id="4"/>
      </w:r>
    </w:p>
    <w:p>
      <w:pPr>
        <w:pStyle w:val="Heading1"/>
        <w:pageBreakBefore/>
        <w:bidi/>
        <w:spacing w:after="160" w:before="360" w:line="360"/>
        <w:jc w:val="right"/>
      </w:pPr>
      <w:r>
        <w:rPr>
          <w:rFonts w:ascii="David" w:cs="David" w:eastAsia="David" w:hAnsi="David"/>
          <w:b/>
          <w:bCs/>
          <w:sz w:val="32"/>
          <w:szCs w:val="32"/>
          <w:rtl/>
        </w:rPr>
        <w:t xml:space="preserve">פרק ראשון: רקע היסטורי</w:t>
      </w:r>
    </w:p>
    <w:p>
      <w:pPr>
        <w:bidi/>
        <w:spacing w:after="120" w:line="360" w:lineRule="auto"/>
        <w:jc w:val="right"/>
      </w:pPr>
      <w:r>
        <w:rPr>
          <w:rFonts w:ascii="David" w:cs="David" w:eastAsia="David" w:hAnsi="David"/>
          <w:sz w:val="24"/>
          <w:szCs w:val="24"/>
          <w:rtl/>
        </w:rPr>
        <w:t xml:space="preserve">פרק זה מניח את התשתית לדיון בפרקים הבאים. חלקו הראשון סוקר את הביוגרפיה של הרצל עד ערב פרשת דרייפוס. חלקו השני מציג את מושג האנטישמיות המודרנית ואת הוויכוח על ייחודה. שלושת החלקים הבאים מתארים את התנועות האנטישמיות בגרמניה, באוסטריה ובצרפת בעשורים שקדמו לפרשה ובמהלכה. אוסטריה נכללת בדיון לצד גרמניה וצרפת מפני שהרצל היה איש וינה, ומפני שהפרק השני יטען שהפוליטיקה הווינאית היא המפתח להבנת המהפך שלו.</w:t>
      </w:r>
    </w:p>
    <w:p>
      <w:pPr>
        <w:pStyle w:val="Heading2"/>
        <w:bidi/>
        <w:spacing w:after="160" w:before="240" w:line="360"/>
        <w:jc w:val="right"/>
      </w:pPr>
      <w:r>
        <w:rPr>
          <w:rFonts w:ascii="David" w:cs="David" w:eastAsia="David" w:hAnsi="David"/>
          <w:b/>
          <w:bCs/>
          <w:sz w:val="28"/>
          <w:szCs w:val="28"/>
          <w:rtl/>
        </w:rPr>
        <w:t xml:space="preserve">1. תיאודור הרצל עד ערב הפרשה</w:t>
      </w:r>
    </w:p>
    <w:p>
      <w:pPr>
        <w:bidi/>
        <w:spacing w:after="120" w:line="360" w:lineRule="auto"/>
        <w:jc w:val="right"/>
      </w:pPr>
      <w:r>
        <w:rPr>
          <w:rFonts w:ascii="David" w:cs="David" w:eastAsia="David" w:hAnsi="David"/>
          <w:sz w:val="24"/>
          <w:szCs w:val="24"/>
          <w:rtl/>
        </w:rPr>
        <w:t xml:space="preserve">תיאודור הרצל נולד בבודפשט ב-2 במאי 1860 למשפחה יהודית אמידה. אביו יעקב היה סוחר ובנקאי, ואמו ז'נט באה ממשפחה שהעריצה את הספרות הגרמנית הקלאסית. הבית היה דובר גרמנית, והיהדות שבו הייתה מסורת משפחתית רופפת ולא אמונה: הרצל למד זמן קצר בבית ספר יהודי וחגג בר מצווה, אך חינוכו התרבותי היה גרמני. בשנת 1878, לאחר מות אחותו פאולינה, עברה המשפחה לווינה, והרצל נרשם ללימודי משפטים באוניברסיטה. את הדוקטורט קיבל בשנת 1884, ולאחר התמחות קצרה זנח את המשפטים לטובת הספרות והעיתונות .</w:t>
      </w:r>
      <w:r>
        <w:rPr>
          <w:rStyle w:val="FootnoteReference"/>
        </w:rPr>
        <w:footnoteReference w:id="5"/>
      </w:r>
    </w:p>
    <w:p>
      <w:pPr>
        <w:bidi/>
        <w:spacing w:after="120" w:line="360" w:lineRule="auto"/>
        <w:jc w:val="right"/>
      </w:pPr>
      <w:r>
        <w:rPr>
          <w:rFonts w:ascii="David" w:cs="David" w:eastAsia="David" w:hAnsi="David"/>
          <w:sz w:val="24"/>
          <w:szCs w:val="24"/>
          <w:rtl/>
        </w:rPr>
        <w:t xml:space="preserve">הרצל הצעיר היה יהודי מתבולל במלוא מובן המילה. הוא ראה את עצמו כאיש תרבות אירופי שדתו היא עניין של מוצא, שאף להיות מחזאי גרמני מצליח, והופעתו המוקפדת ואהדתו לאצולה שיקפו רצון להיטמע בחברה הגבוהה הווינאית. ז'ק קורנברג הראה שהתבוללות זו לא הייתה נטולת מתחים. הרצל הפנים במידה רבה את הדימויים השליליים של היהודים שרווחו בסביבתו, היהודי כמתחנף וכחסר כבוד, וביקש להתרחק מהם. קורנברג כינה זאת "שנאה עצמית יהודית", מונח שנוי במחלוקת, אך המתח בין הרצון להיות "כמו כולם" לבין ההכרה שהסביבה אינה מאפשרת זאת עמד ביסוד התפתחותו .</w:t>
      </w:r>
      <w:r>
        <w:rPr>
          <w:rStyle w:val="FootnoteReference"/>
        </w:rPr>
        <w:footnoteReference w:id="6"/>
      </w:r>
    </w:p>
    <w:p>
      <w:pPr>
        <w:bidi/>
        <w:spacing w:after="120" w:line="360" w:lineRule="auto"/>
        <w:jc w:val="right"/>
      </w:pPr>
      <w:r>
        <w:rPr>
          <w:rFonts w:ascii="David" w:cs="David" w:eastAsia="David" w:hAnsi="David"/>
          <w:sz w:val="24"/>
          <w:szCs w:val="24"/>
          <w:rtl/>
        </w:rPr>
        <w:t xml:space="preserve">מפגשו של הרצל עם האנטישמיות המודרנית לא החל בפריז אלא בווינה של שנות לימודיו. בפברואר 1882 קרא את ספרו של אויגן דירינג על "השאלה היהודית", ורשם ביומן נעוריו הערות ארוכות שבהן דחה את פתרונו הגזעי של דירינג אך קיבל חלק מביקורתו על "פגמי" היהודים. בשנת 1883 פרש מאגודת הסטודנטים "אלביה", לאחר שזו התייצבה מאחורי נאום אנטישמי בעצרת זיכרון לריכרד ואגנר. שתי ההתנסויות יידונו בפרק השני כגורמים למהפך; כאן די לציין שהמסקנה שהסיק מהן הרצל בשנות השמונים לא הייתה לאומית. הוא האמין שהאנטישמיות היא שריד של ימי הביניים שייעלם עם התקדמות הנאורות, ושעל היהודים עצמם לזרז את היעלמותה בחינוך ובנימוסים .</w:t>
      </w:r>
      <w:r>
        <w:rPr>
          <w:rStyle w:val="FootnoteReference"/>
        </w:rPr>
        <w:footnoteReference w:id="7"/>
      </w:r>
    </w:p>
    <w:p>
      <w:pPr>
        <w:bidi/>
        <w:spacing w:after="120" w:line="360" w:lineRule="auto"/>
        <w:jc w:val="right"/>
      </w:pPr>
      <w:r>
        <w:rPr>
          <w:rFonts w:ascii="David" w:cs="David" w:eastAsia="David" w:hAnsi="David"/>
          <w:sz w:val="24"/>
          <w:szCs w:val="24"/>
          <w:rtl/>
        </w:rPr>
        <w:t xml:space="preserve">במשך שנות השמונים בנה הרצל קריירה של פיליטוניסט. הוא פרסם רשימות קלילות ומלוטשות בעיתוני וינה וברלין, נסע ברחבי אירופה וכתב רשמי מסע, ומחזותיו הקומיים הוצגו בבורגתיאטר ובבמות גרמניות. השאלה היהודית הופיעה בכתביו רק בשוליים ובנימה אירונית. הפיליטון, הז'אנר שבו הצטיין, דרש קלילות, שנינות ומרחק, והוא עיצב גם את דרך ההסתכלות שלו: הרצל למד לראות את המציאות כחומר לתיאור ספרותי ולא כזירה למעורבות. תכונה זו תסביר, בפרק השלישי, מדוע הרושם הראשוני שלו מפרשת דרייפוס היה רושם של כתב המסקר דרמה ולא של יהודי שנפגע .</w:t>
      </w:r>
      <w:r>
        <w:rPr>
          <w:rStyle w:val="FootnoteReference"/>
        </w:rPr>
        <w:footnoteReference w:id="8"/>
      </w:r>
    </w:p>
    <w:p>
      <w:pPr>
        <w:bidi/>
        <w:spacing w:after="120" w:line="360" w:lineRule="auto"/>
        <w:jc w:val="right"/>
      </w:pPr>
      <w:r>
        <w:rPr>
          <w:rFonts w:ascii="David" w:cs="David" w:eastAsia="David" w:hAnsi="David"/>
          <w:sz w:val="24"/>
          <w:szCs w:val="24"/>
          <w:rtl/>
        </w:rPr>
        <w:t xml:space="preserve">באוקטובר 1891 מונה הרצל לכתב הפריזאי של "נויה פרייה פרסה", העיתון הליברלי החשוב ביותר בווינה. במשך ארבע שנים סיקר את הפוליטיקה הצרפתית: את ישיבות בית הנבחרים, את שערוריית פנמה, את גל הטרור האנרכיסטי ואת נפילת הממשלות. מאמריו מתקופה זו מלמדים על משקיף חד וסקפטי, שלמד להכיר את מנגנוני הפוליטיקה הפרלמנטרית ואת מגבלותיה, את כוחם של ההמונים ואת כוחה של העיתונות. בפריז נחשף גם לאנטישמיות הצרפתית של דרימון, ובשנת 1892 פרסם מאמר על "האנטישמיות הצרפתית" שבו ניתח את התופעה בקור רוח ואף הביע הבנה למניעיה החברתיים .</w:t>
      </w:r>
      <w:r>
        <w:rPr>
          <w:rStyle w:val="FootnoteReference"/>
        </w:rPr>
        <w:footnoteReference w:id="9"/>
      </w:r>
    </w:p>
    <w:p>
      <w:pPr>
        <w:bidi/>
        <w:spacing w:after="120" w:line="360" w:lineRule="auto"/>
        <w:jc w:val="right"/>
      </w:pPr>
      <w:r>
        <w:rPr>
          <w:rFonts w:ascii="David" w:cs="David" w:eastAsia="David" w:hAnsi="David"/>
          <w:sz w:val="24"/>
          <w:szCs w:val="24"/>
          <w:rtl/>
        </w:rPr>
        <w:t xml:space="preserve">השנים 1893-1895 היו גם שנות משבר אישי. נישואיו ליוליה נשאואר, בת למשפחה עשירה, היו אומללים והתנהלו על סף פירוד; מחזותיו לא זכו להצלחה שקיווה לה; והוא התקרב לגיל שלושים וחמש בתחושה שלא הגשים את ייעודו. בסתיו 1894, בשבועות שבהם נעצר דרייפוס, כתב בסערת רוח את המחזה "הגטו החדש", יצירתו הראשונה שהוקדשה לשאלה היהודית. ביוני 1895 החל לנהל את יומנו הציוני, ובפברואר 1896 פרסם את "מדינת היהודים". על הדרך מן המחזה אל החוברת ידובר בפרקים הבאים; כאן חשוב לזכור את סדר הזמנים, שכן הוא מכריע בשאלת המחקר .</w:t>
      </w:r>
      <w:r>
        <w:rPr>
          <w:rStyle w:val="FootnoteReference"/>
        </w:rPr>
        <w:footnoteReference w:id="10"/>
      </w:r>
    </w:p>
    <w:p>
      <w:pPr>
        <w:pStyle w:val="Heading2"/>
        <w:bidi/>
        <w:spacing w:after="160" w:before="240" w:line="360"/>
        <w:jc w:val="right"/>
      </w:pPr>
      <w:r>
        <w:rPr>
          <w:rFonts w:ascii="David" w:cs="David" w:eastAsia="David" w:hAnsi="David"/>
          <w:b/>
          <w:bCs/>
          <w:sz w:val="28"/>
          <w:szCs w:val="28"/>
          <w:rtl/>
        </w:rPr>
        <w:t xml:space="preserve">2. האנטישמיות המודרנית: מושג ומחלוקת</w:t>
      </w:r>
    </w:p>
    <w:p>
      <w:pPr>
        <w:bidi/>
        <w:spacing w:after="120" w:line="360" w:lineRule="auto"/>
        <w:jc w:val="right"/>
      </w:pPr>
      <w:r>
        <w:rPr>
          <w:rFonts w:ascii="David" w:cs="David" w:eastAsia="David" w:hAnsi="David"/>
          <w:sz w:val="24"/>
          <w:szCs w:val="24"/>
          <w:rtl/>
        </w:rPr>
        <w:t xml:space="preserve">המונח "אנטישמיות" נכנס לשיח הציבורי בגרמניה בשנת 1879, כאשר הפובליציסט וילהלם מאר פרסם את חיבורו על "ניצחון היהדות על הגרמניות" וייסד את "ליגת האנטישמים". המונח נועד להבדיל את שנאת היהודים החדשה, שהתיימרה להיות "מדעית" וחילונית, מן השנאה הדתית הנוצרית: לא יהודים הנשנאים בשל דתם, אלא "שמים" הנתפשים כגזע זר שתכונותיו קבועות ואינן ניתנות לשינוי גם בהמרת דת או בהתבוללות. יעקב כ"ץ הראה שהמעבר משנאת הדת לשלילת הגזע לא היה חד. האנטישמים המודרניים שאבו מן המאגר של דימויים נוצריים ותיקים, היהודי כרמאי, כמלווה בריבית וכגורם מפורר, והלבישו אותם בלבוש של מדע הגזע, של כלכלה פוליטית ושל לאומיות .</w:t>
      </w:r>
      <w:r>
        <w:rPr>
          <w:rStyle w:val="FootnoteReference"/>
        </w:rPr>
        <w:footnoteReference w:id="11"/>
      </w:r>
    </w:p>
    <w:p>
      <w:pPr>
        <w:bidi/>
        <w:spacing w:after="120" w:line="360" w:lineRule="auto"/>
        <w:jc w:val="right"/>
      </w:pPr>
      <w:r>
        <w:rPr>
          <w:rFonts w:ascii="David" w:cs="David" w:eastAsia="David" w:hAnsi="David"/>
          <w:sz w:val="24"/>
          <w:szCs w:val="24"/>
          <w:rtl/>
        </w:rPr>
        <w:t xml:space="preserve">עיתוי הופעת המונח לא היה מקרי. שנת 1879 הייתה שנת מפנה בכמה ארצות בעת ובעונה אחת. בגרמניה נוסדה תנועת שטקר והתפרסם מאמרו של טרייצ'קה; בהונגריה החלה תסיסה שהגיעה לשיאה בעלילת הדם בטיסה־אסלר (1882); וברוסיה פרצו כעבור שנתיים, לאחר רצח הצאר אלכסנדר השני, פרעות "הסופות בנגב", שהניעו הגירה יהודית המונית מערבה. ההגירה מן המזרח הזינה מצדה את הטענה בדבר "הצפה" יהודית במרכז אירופה ובמערבה. כ"ץ ראה בבו־זמניות זו ראיה לכך שהאנטישמיות המודרנית הייתה תופעה כלל־אירופית שצמחה ממשבר החברה הליברלית, ולא מנסיבות מקומיות בלבד .</w:t>
      </w:r>
      <w:r>
        <w:rPr>
          <w:rStyle w:val="FootnoteReference"/>
        </w:rPr>
        <w:footnoteReference w:id="12"/>
      </w:r>
    </w:p>
    <w:p>
      <w:pPr>
        <w:bidi/>
        <w:spacing w:after="120" w:line="360" w:lineRule="auto"/>
        <w:jc w:val="right"/>
      </w:pPr>
      <w:r>
        <w:rPr>
          <w:rFonts w:ascii="David" w:cs="David" w:eastAsia="David" w:hAnsi="David"/>
          <w:sz w:val="24"/>
          <w:szCs w:val="24"/>
          <w:rtl/>
        </w:rPr>
        <w:t xml:space="preserve">השאלה אם האנטישמיות המודרנית היא תופעה חדשה או המשך של שנאת היהודים לדורותיה עומדת במרכז ויכוח היסטוריוגרפי ותיק. שמואל אטינגר ראה בשנאת היהודים קו רצף היסטורי: הדימוי השלילי של היהודי, שהתגבש בעולם ההלניסטי ובנצרות הקדומה, עבר מדור לדור כמסורת תרבותית שאינה תלויה במציאות החברתית של היהודים בכל תקופה, ובכל משבר היא נשלפת מחדש ומולבשת על נסיבות הזמן. עם זאת, גם אטינגר הכיר בייחודה של האנטישמיות המודרנית. היא הופיעה לאחר האמנציפציה, כתגובה על השתלבות היהודים ולא על בידודם; היא הייתה תנועה פוליטית מאורגנת; והיא הציגה את היהודים לא כמיעוט דתי אלא ככוח מסתורי השולט בכלכלה, בעיתונות ובפוליטיקה .</w:t>
      </w:r>
      <w:r>
        <w:rPr>
          <w:rStyle w:val="FootnoteReference"/>
        </w:rPr>
        <w:footnoteReference w:id="13"/>
      </w:r>
    </w:p>
    <w:p>
      <w:pPr>
        <w:bidi/>
        <w:spacing w:after="120" w:line="360" w:lineRule="auto"/>
        <w:jc w:val="right"/>
      </w:pPr>
      <w:r>
        <w:rPr>
          <w:rFonts w:ascii="David" w:cs="David" w:eastAsia="David" w:hAnsi="David"/>
          <w:sz w:val="24"/>
          <w:szCs w:val="24"/>
          <w:rtl/>
        </w:rPr>
        <w:t xml:space="preserve">דוד אנגל טען, מנגד, שעצם השימוש במושג "אנטישמיות" כקטגוריה אנליטית מטשטש יותר משהוא מאיר. המושג כורך יחד חקיקה מפלה, אלימות המונים, תעמולה מפלגתית ודעות קדומות פרטיות, ומניח מראש קו רצף ביניהן במקום להסביר כל תופעה בהקשרה. אנגל הציע לזנוח את המושג ולחקור את יחסי היהודים עם סביבתם באופן קונקרטי. סוזנה השל השיבה שהוויתור על המושג עלול להעלים מן המחקר דווקא את הממדים הרגשיים והחושיים של השנאה, שאינם ניתנים לרדוקציה לנסיבות פוליטיות מקומיות .</w:t>
      </w:r>
      <w:r>
        <w:rPr>
          <w:rStyle w:val="FootnoteReference"/>
        </w:rPr>
        <w:footnoteReference w:id="14"/>
      </w:r>
      <w:r>
        <w:rPr>
          <w:rFonts w:ascii="David" w:cs="David" w:eastAsia="David" w:hAnsi="David"/>
          <w:sz w:val="24"/>
          <w:szCs w:val="24"/>
          <w:rtl/>
        </w:rPr>
        <w:t xml:space="preserve"> תגובות נוספות על אנגל, שפורסמו באותו גיליון של "ציון", מחדדות את הצד המתודולוגי של הוויכוח. דיוויד פלדמן קיבל את טענתו של אנגל שהמושג הוא הבניה חברתית ולא נתון מן הטבע, והזכיר שכאשר נכנס המונח לשימוש בגרמניה בראשית שנות השמונים הוא ציין רק את מי שטענו ששוויון הזכויות ליהודים היה טעות, ורק באמצע שנות התשעים התרחב לכלול כל עוינות כלפי יהודים בכל הדורות. פלדמן הוסיף שהמושג שימש את המשתמשים בו לא רק לתאר את העולם אלא להשפיע עליו, כאשר סופרים יהודים כרכו יחד את הביקורת הגרמנית על האמנציפציה, את הפרעות ברוסיה ואת עלילת הדם בהונגריה כדי לחזק את היהודים ולפגוע באמינות יריביהם .</w:t>
      </w:r>
      <w:r>
        <w:rPr>
          <w:rStyle w:val="FootnoteReference"/>
        </w:rPr>
        <w:footnoteReference w:id="15"/>
      </w:r>
      <w:r>
        <w:rPr>
          <w:rFonts w:ascii="David" w:cs="David" w:eastAsia="David" w:hAnsi="David"/>
          <w:sz w:val="24"/>
          <w:szCs w:val="24"/>
          <w:rtl/>
        </w:rPr>
        <w:t xml:space="preserve"> צפריר ברזלי הזכיר שכל קטגוריה היסטורית היא שרירותית במידת מה, וטען שאפשר להמשיך להשתמש במושג כל עוד ברור שאינו מייצג את התמונה המלאה של יחסי יהודים ולא־יהודים. שני המאפיינים שדרש ממחקר עתידי, התייחסות לרמה המקומית ובחינת התפתחויות בחברת הרוב גם כשאינן קשורות ישירות ליהודים, ישמשו את הדיון בהרצל בפרקים הבאים .</w:t>
      </w:r>
      <w:r>
        <w:rPr>
          <w:rStyle w:val="FootnoteReference"/>
        </w:rPr>
        <w:footnoteReference w:id="16"/>
      </w:r>
    </w:p>
    <w:p>
      <w:pPr>
        <w:bidi/>
        <w:spacing w:after="120" w:line="360" w:lineRule="auto"/>
        <w:jc w:val="right"/>
      </w:pPr>
      <w:r>
        <w:rPr>
          <w:rFonts w:ascii="David" w:cs="David" w:eastAsia="David" w:hAnsi="David"/>
          <w:sz w:val="24"/>
          <w:szCs w:val="24"/>
          <w:rtl/>
        </w:rPr>
        <w:t xml:space="preserve">לוויכוח זה יש השלכה ישירה על הדיון בהרצל. גישתו של אנגל מחייבת להסביר את תגובתו בהקשר קונקרטי, הפוליטיקה הווינאית, מעמדו כעיתונאי, זהותו כיהודי מתבולל, ולא כתגובה ל"אנטישמיות" מופשטת שנתגלתה לו בפריז .</w:t>
      </w:r>
      <w:r>
        <w:rPr>
          <w:rStyle w:val="FootnoteReference"/>
        </w:rPr>
        <w:footnoteReference w:id="17"/>
      </w:r>
    </w:p>
    <w:p>
      <w:pPr>
        <w:pStyle w:val="Heading2"/>
        <w:bidi/>
        <w:spacing w:after="160" w:before="240" w:line="360"/>
        <w:jc w:val="right"/>
      </w:pPr>
      <w:r>
        <w:rPr>
          <w:rFonts w:ascii="David" w:cs="David" w:eastAsia="David" w:hAnsi="David"/>
          <w:b/>
          <w:bCs/>
          <w:sz w:val="28"/>
          <w:szCs w:val="28"/>
          <w:rtl/>
        </w:rPr>
        <w:t xml:space="preserve">3. גרמניה: מן "ויכוח האנטישמיות" ועד למפלגות האנטישמיות</w:t>
      </w:r>
    </w:p>
    <w:p>
      <w:pPr>
        <w:bidi/>
        <w:spacing w:after="120" w:line="360" w:lineRule="auto"/>
        <w:jc w:val="right"/>
      </w:pPr>
      <w:r>
        <w:rPr>
          <w:rFonts w:ascii="David" w:cs="David" w:eastAsia="David" w:hAnsi="David"/>
          <w:sz w:val="24"/>
          <w:szCs w:val="24"/>
          <w:rtl/>
        </w:rPr>
        <w:t xml:space="preserve">האנטישמיות הפוליטית הופיעה בגרמניה בשלהי שנות השבעים, על רקע המשבר הכלכלי שפרץ בשנת 1873 ומשבר הליברליזם הגרמני. בשנת 1878 ייסד הכומר החצרוני אדולף שטקר את "מפלגת הפועלים הנוצרית־סוציאלית", שפנתה אל המעמד הבינוני הנמוך בברלין בסיסמאות נגד "ההון היהודי" ו"העיתונות היהודית". בנובמבר 1879 פרסם ההיסטוריון היינריך פון טרייצ'קה מאמר שבו קבע כי "היהודים הם אסוננו", משפט שהעניק לאנטישמיות לגיטימציה בקרב המשכילים והצית את "ויכוח האנטישמיות של ברלין". בשנים 1880-1881 הוגשה לביסמרק "עצומת האנטישמים", שדרשה להגביל את הגירת היהודים ואת גישתם למשרות ציבוריות, ועליה חתמו כרבע מיליון איש .</w:t>
      </w:r>
      <w:r>
        <w:rPr>
          <w:rStyle w:val="FootnoteReference"/>
        </w:rPr>
        <w:footnoteReference w:id="18"/>
      </w:r>
    </w:p>
    <w:p>
      <w:pPr>
        <w:bidi/>
        <w:spacing w:after="120" w:line="360" w:lineRule="auto"/>
        <w:jc w:val="right"/>
      </w:pPr>
      <w:r>
        <w:rPr>
          <w:rFonts w:ascii="David" w:cs="David" w:eastAsia="David" w:hAnsi="David"/>
          <w:sz w:val="24"/>
          <w:szCs w:val="24"/>
          <w:rtl/>
        </w:rPr>
        <w:t xml:space="preserve">לצד התנועה הפוליטית התפתחה גם תורה. בשנת 1881 פרסם הפילוסוף אויגן דירינג את חיבורו "השאלה היהודית כשאלה של גזע, מוסר ותרבות", שהציג את היהודים כגזע נחות ומזיק שאין לו תקנה, ושלל במפורש את המרת הדת כפתרון. דירינג הפך את האנטישמיות מעמדה דתית או כלכלית לתורה ביולוגית סגורה, וזהו החיבור שהרצל קרא בשנת 1882. באותה שנה התלוותה לתעמולה גם אלימות: בקיץ 1881 פרצו התפרעויות נגד יהודים בנוישטטין שבפומרניה ובעיירות סמוכות, לאחר שריפת בית הכנסת המקומי, והן היו הראשונות בגרמניה המאוחדת .</w:t>
      </w:r>
      <w:r>
        <w:rPr>
          <w:rStyle w:val="FootnoteReference"/>
        </w:rPr>
        <w:footnoteReference w:id="19"/>
      </w:r>
    </w:p>
    <w:p>
      <w:pPr>
        <w:bidi/>
        <w:spacing w:after="120" w:line="360" w:lineRule="auto"/>
        <w:jc w:val="right"/>
      </w:pPr>
      <w:r>
        <w:rPr>
          <w:rFonts w:ascii="David" w:cs="David" w:eastAsia="David" w:hAnsi="David"/>
          <w:sz w:val="24"/>
          <w:szCs w:val="24"/>
          <w:rtl/>
        </w:rPr>
        <w:t xml:space="preserve">בשנות התשעים, השנים שבהן שהה הרצל בפריז, הגיעה האנטישמיות המפלגתית בגרמניה לשיאה. המורה אוטו בקל נבחר לרייכסטאג בשנת 1887 כציר האנטישמי הראשון, על מצע של איכרים בהסן נגד סוחרי הבקר היהודים; הרמן אלוורדט, מנהל בית ספר שהורשע בהוצאת דיבה, נבחר בשנת 1892; ובבחירות 1893 זכו המפלגות האנטישמיות בשישה עשר מושבים. באותה שנה אימצה המפלגה השמרנית, בתוכנית טיבולי, סעיף נגד "ההשפעה היהודית ההרסנית". ההצלחה הייתה מוגבלת: המפלגות האנטישמיות נותרו בשולי המערכת, התפצלו ושקעו לפני מלחמת העולם הראשונה. אך הן הראו שאנטישמיות יכולה לשמש מצע לגיוס פוליטי, ושהמפלגות הממוסדות מוכנות לאמץ את שפתה .</w:t>
      </w:r>
      <w:r>
        <w:rPr>
          <w:rStyle w:val="FootnoteReference"/>
        </w:rPr>
        <w:footnoteReference w:id="20"/>
      </w:r>
    </w:p>
    <w:p>
      <w:pPr>
        <w:bidi/>
        <w:spacing w:after="120" w:line="360" w:lineRule="auto"/>
        <w:jc w:val="right"/>
      </w:pPr>
      <w:r>
        <w:rPr>
          <w:rFonts w:ascii="David" w:cs="David" w:eastAsia="David" w:hAnsi="David"/>
          <w:sz w:val="24"/>
          <w:szCs w:val="24"/>
          <w:rtl/>
        </w:rPr>
        <w:t xml:space="preserve">התגובה על האנטישמיות בגרמניה מלמדת על מקומה בתרבות הפוליטית. בשנת 1880 חתמו שבעים וחמישה אישי ציבור, ובהם ההיסטוריון תיאודור מומזן, על הצהרה נגד "ויכוח האנטישמיות"; בשנת 1891 נוסדה "האגודה להדיפת האנטישמיות", שרוב חבריה היו נוצרים ליברלים; ובשנת 1893 הקימו יהודי גרמניה את "האגודה המרכזית של אזרחים גרמנים בני הדת היהודית", שנועדה להיאבק באנטישמיות בכלים משפטיים ולהדגיש את הגרמניות של היהודים. ההתארגנות היהודית הזאת, שראתה בהגנה על האמנציפציה ולא ביציאה ממנה את התשובה, היא הרקע שעל פניו יבלוט הפתרון של הרצל .</w:t>
      </w:r>
      <w:r>
        <w:rPr>
          <w:rStyle w:val="FootnoteReference"/>
        </w:rPr>
        <w:footnoteReference w:id="21"/>
      </w:r>
    </w:p>
    <w:p>
      <w:pPr>
        <w:bidi/>
        <w:spacing w:after="120" w:line="360" w:lineRule="auto"/>
        <w:jc w:val="right"/>
      </w:pPr>
      <w:r>
        <w:rPr>
          <w:rFonts w:ascii="David" w:cs="David" w:eastAsia="David" w:hAnsi="David"/>
          <w:sz w:val="24"/>
          <w:szCs w:val="24"/>
          <w:rtl/>
        </w:rPr>
        <w:t xml:space="preserve">שולמית וולקוב הציעה מסגרת פרשנית להבנת התופעה. בשלהי המאה התשע עשרה הפכה האנטישמיות בגרמניה ל"קוד תרבותי": הצהרת עמדה אנטי־יהודית לא ביטאה בהכרח עמדה מגובשת בשאלת היהודים, אלא שימשה סימן היכר להשתייכות למחנה תרבותי־פוליטי שלם, שמרני, לאומי, אנטי־ליברלי, מתגעגע לחברה קדם־תעשייתית. ההתנגדות לאנטישמיות שימשה, באותה מידה, סימן להשתייכות למחנה הליברלי. כך הפכה "השאלה היהודית" לסמל במאבק על דמותה של גרמניה, גם כשמספר היהודים בה לא עלה על אחוז אחד מן האוכלוסייה. הרעיון מסביר מדוע יכול היה יהודי מתבולל כהרצל לחיות שנים בסביבה שבה האנטישמיות רווחת מבלי לראות בה איום קיומי. היא נתפשה כרטוריקה של מחנה, לא כתוכנית פעולה .</w:t>
      </w:r>
      <w:r>
        <w:rPr>
          <w:rStyle w:val="FootnoteReference"/>
        </w:rPr>
        <w:footnoteReference w:id="22"/>
      </w:r>
    </w:p>
    <w:p>
      <w:pPr>
        <w:pStyle w:val="Heading2"/>
        <w:bidi/>
        <w:spacing w:after="160" w:before="240" w:line="360"/>
        <w:jc w:val="right"/>
      </w:pPr>
      <w:r>
        <w:rPr>
          <w:rFonts w:ascii="David" w:cs="David" w:eastAsia="David" w:hAnsi="David"/>
          <w:b/>
          <w:bCs/>
          <w:sz w:val="28"/>
          <w:szCs w:val="28"/>
          <w:rtl/>
        </w:rPr>
        <w:t xml:space="preserve">4. אוסטריה: שנרר, לואגר וכיבוש וינה</w:t>
      </w:r>
    </w:p>
    <w:p>
      <w:pPr>
        <w:bidi/>
        <w:spacing w:after="120" w:line="360" w:lineRule="auto"/>
        <w:jc w:val="right"/>
      </w:pPr>
      <w:r>
        <w:rPr>
          <w:rFonts w:ascii="David" w:cs="David" w:eastAsia="David" w:hAnsi="David"/>
          <w:sz w:val="24"/>
          <w:szCs w:val="24"/>
          <w:rtl/>
        </w:rPr>
        <w:t xml:space="preserve">באוסטריה לבשה האנטישמיות הפוליטית צורה חריפה יותר, ובעיר הבירה וינה, שבה חיו כתשעה אחוזים יהודים, היא הגיעה להישג שלא היה לה בשום מקום אחר באירופה. גיאורג פון שנרר, מנהיג התנועה הפאן־גרמנית, הציג למן שנות השמונים תפישה גזעית מובהקת שלפיה אין יהודי יכול להיות גרמני, ובשנת 1885 הוסיף ל"תוכנית לינץ" של תנועתו סעיף הדורש להרחיק את "ההשפעה היהודית" מכל תחומי החיים הציבוריים. בנאומיו בפרלמנט האוסטרי בשנים 1882 ו-1887 דרש חקיקה מיוחדת נגד היהודים והציג היררכיה של "גרמניות" שבה היהודים עומדים בתחתית .</w:t>
      </w:r>
      <w:r>
        <w:rPr>
          <w:rStyle w:val="FootnoteReference"/>
        </w:rPr>
        <w:footnoteReference w:id="23"/>
      </w:r>
    </w:p>
    <w:p>
      <w:pPr>
        <w:bidi/>
        <w:spacing w:after="120" w:line="360" w:lineRule="auto"/>
        <w:jc w:val="right"/>
      </w:pPr>
      <w:r>
        <w:rPr>
          <w:rFonts w:ascii="David" w:cs="David" w:eastAsia="David" w:hAnsi="David"/>
          <w:sz w:val="24"/>
          <w:szCs w:val="24"/>
          <w:rtl/>
        </w:rPr>
        <w:t xml:space="preserve">עוצמת הזעזוע שחוללה האנטישמיות בווינה מובנת רק על רקע מה שקדם לה. חוקת 1867 העניקה ליהודי אוסטריה שוויון זכויות מלא, ובעשורים שלאחריה גדלה הקהילה היהודית של וינה מכעשרת אלפים נפש לכמאה וארבעים אלף, רובם מהגרים ממורביה, מבוהמיה, מהונגריה ומגליציה. יהודי וינה זיהו את עצמם עם המפלגה הליברלית, עם התרבות הגרמנית ועם הקיסר, ומילאו תפקיד בולט בעיתונות, בבנקאות, ברפואה ובאמנויות. משבר הבורסה של 1873 ושקיעת הליברליזם הפוליטי מאז שנות השמונים הפכו את ההזדהות הזאת לנטל, שכן היהודים זוהו עתה עם המחנה המפסיד ועם המערכת שנתפשה כמושחתת .</w:t>
      </w:r>
      <w:r>
        <w:rPr>
          <w:rStyle w:val="FootnoteReference"/>
        </w:rPr>
        <w:footnoteReference w:id="24"/>
      </w:r>
    </w:p>
    <w:p>
      <w:pPr>
        <w:bidi/>
        <w:spacing w:after="120" w:line="360" w:lineRule="auto"/>
        <w:jc w:val="right"/>
      </w:pPr>
      <w:r>
        <w:rPr>
          <w:rFonts w:ascii="David" w:cs="David" w:eastAsia="David" w:hAnsi="David"/>
          <w:sz w:val="24"/>
          <w:szCs w:val="24"/>
          <w:rtl/>
        </w:rPr>
        <w:t xml:space="preserve">ההצלחה הפוליטית הגדולה נפלה בחלקו של קרל לואגר ומפלגתו הנוצרית־סוציאלית. לואגר שילב אנטישמיות עממית עם קתוליות שמרנית ועם רפורמות מוניציפליות, ופנה אל בעלי המלאכה, הזעיר־בורגנים והפקידים הזוטרים של וינה, שחשו מאוימים מן הקפיטליזם ומן הליברליזם שזוהו בעיניהם עם היהודים. בבחירות לעיריית וינה באביב 1895 זכתה מפלגתו ברוב, ולואגר נבחר לראש העירייה. הקיסר פרנץ יוזף סירב לאשר את הבחירה במשך שנתיים, עד שנכנע באפריל 1897. היסטוריונים דנו בשאלת "האותנטיות" של האנטישמיות של לואגר, אך מבחינת יהודי וינה לא הייתה לשאלה חשיבות: לראשונה בתולדות אירופה המודרנית זכתה מפלגה שדגלה בגלוי באנטישמיות בשלטון בעיר בירה .</w:t>
      </w:r>
      <w:r>
        <w:rPr>
          <w:rStyle w:val="FootnoteReference"/>
        </w:rPr>
        <w:footnoteReference w:id="25"/>
      </w:r>
    </w:p>
    <w:p>
      <w:pPr>
        <w:bidi/>
        <w:spacing w:after="120" w:line="360" w:lineRule="auto"/>
        <w:jc w:val="right"/>
      </w:pPr>
      <w:r>
        <w:rPr>
          <w:rFonts w:ascii="David" w:cs="David" w:eastAsia="David" w:hAnsi="David"/>
          <w:sz w:val="24"/>
          <w:szCs w:val="24"/>
          <w:rtl/>
        </w:rPr>
        <w:t xml:space="preserve">עליית לואגר השפיעה גם על החברה היהודית בווינה עצמה. לצד הרוב שהמשיך לדבוק בליברליזם קמו בשנות השמונים והתשעים אגודות סטודנטים יהודיות־לאומיות, ובראשן "קדימה" (1882), שדחו את ההתבוללות וקדמו להופעתו של הרצל בשנים רבות. הרעיון הלאומי היהודי היה "באוויר" של וינה בטרם ניסח אותו הרצל. קרל שורסקה תיאר את שנרר, לואגר והרצל כ"שלישייה אוסטרית" שיצרה "פוליטיקה בסולם חדש", פוליטיקה של המונים, של רגש ושל סמלים, שבאה במקום הפוליטיקה הפרלמנטרית של הליברליזם. לפי קריאתו, הרצל לא רק הגיב על האנטישמים הווינאים אלא למד מהם את שפת ההמונים ואת כוחו של המנהיג הכריזמטי .</w:t>
      </w:r>
      <w:r>
        <w:rPr>
          <w:rStyle w:val="FootnoteReference"/>
        </w:rPr>
        <w:footnoteReference w:id="26"/>
      </w:r>
    </w:p>
    <w:p>
      <w:pPr>
        <w:pStyle w:val="Heading2"/>
        <w:bidi/>
        <w:spacing w:after="160" w:before="240" w:line="360"/>
        <w:jc w:val="right"/>
      </w:pPr>
      <w:r>
        <w:rPr>
          <w:rFonts w:ascii="David" w:cs="David" w:eastAsia="David" w:hAnsi="David"/>
          <w:b/>
          <w:bCs/>
          <w:sz w:val="28"/>
          <w:szCs w:val="28"/>
          <w:rtl/>
        </w:rPr>
        <w:t xml:space="preserve">5. צרפת: אנטישמיות בארץ האמנציפציה</w:t>
      </w:r>
    </w:p>
    <w:p>
      <w:pPr>
        <w:bidi/>
        <w:spacing w:after="120" w:line="360" w:lineRule="auto"/>
        <w:jc w:val="right"/>
      </w:pPr>
      <w:r>
        <w:rPr>
          <w:rFonts w:ascii="David" w:cs="David" w:eastAsia="David" w:hAnsi="David"/>
          <w:sz w:val="24"/>
          <w:szCs w:val="24"/>
          <w:rtl/>
        </w:rPr>
        <w:t xml:space="preserve">צרפת נחשבת בצדק למולדת האמנציפציה היהודית. יהודיה זכו בשוויון זכויות בשנים 1790-1791, ומעמדם המשפטי נותר יציב לאורך המאה התשע עשרה חרף חילופי המשטר. השתלבותם במדינה הייתה עמוקה מבכל ארץ אחרת: יהודים שימשו קצינים בצבא, פקידים בכירים ופרופסורים, משרות שבגרמניה נמנעו מיהודים שלא המירו את דתם. פולה היימן הראתה שיהודי צרפת ראו במהפכה את "מעמד הר סיני" השני שלהם, ובשנת 1889, ביובל המאה למהפכה, חגגו את השתלבותם המלאה באומה מתוך תחושת ביטחון .</w:t>
      </w:r>
      <w:r>
        <w:rPr>
          <w:rStyle w:val="FootnoteReference"/>
        </w:rPr>
        <w:footnoteReference w:id="27"/>
      </w:r>
    </w:p>
    <w:p>
      <w:pPr>
        <w:bidi/>
        <w:spacing w:after="120" w:line="360" w:lineRule="auto"/>
        <w:jc w:val="right"/>
      </w:pPr>
      <w:r>
        <w:rPr>
          <w:rFonts w:ascii="David" w:cs="David" w:eastAsia="David" w:hAnsi="David"/>
          <w:sz w:val="24"/>
          <w:szCs w:val="24"/>
          <w:rtl/>
        </w:rPr>
        <w:t xml:space="preserve">דווקא בצרפת הופיעה בשנות השמונים תעמולה אנטישמית מן החריפות באירופה. הרפובליקה השלישית, שנוסדה בשנת 1870 בעקבות התבוסה לפרוסיה, הייתה משטר שנוי במחלוקת. מול הממסד הרפובליקני, החילוני והליברלי, עמד מחנה שמרני, קתולי ומונרכיסטי, שראה במהפכה חטא קדמון ובקתוליות חלק מהותי מן הזהות הצרפתית. במאבק על אופייה "האמיתי" של צרפת נעשו היהודים לסמל של כל מה ששנאו מתנגדי הרפובליקה: החילוניות, הקפיטליזם, הפרלמנטריזם, ואף הזיקה לאויב הגרמני, שכן רבים מיהודי צרפת, ובהם משפחת דרייפוס, באו מאלזס־לורן שסופחה לגרמניה בשנת 1871 .</w:t>
      </w:r>
      <w:r>
        <w:rPr>
          <w:rStyle w:val="FootnoteReference"/>
        </w:rPr>
        <w:footnoteReference w:id="28"/>
      </w:r>
    </w:p>
    <w:p>
      <w:pPr>
        <w:bidi/>
        <w:spacing w:after="120" w:line="360" w:lineRule="auto"/>
        <w:jc w:val="right"/>
      </w:pPr>
      <w:r>
        <w:rPr>
          <w:rFonts w:ascii="David" w:cs="David" w:eastAsia="David" w:hAnsi="David"/>
          <w:sz w:val="24"/>
          <w:szCs w:val="24"/>
          <w:rtl/>
        </w:rPr>
        <w:t xml:space="preserve">הביטוי המובהק לתעמולה זו היה ספרו של אדואר דרימון "צרפת המיוהדת" (1886), שזכה ליותר ממאה מהדורות בתוך שנים ספורות. דרימון שילב את השנאה הקתולית המסורתית, את הביקורת הסוציאלית על ההון הפיננסי ואת תורת הגזע החדשה. הוא תיאר את היהודים כגזע שמי בעל תכונות קבועות, חמדנות, ערמומיות וחוסר כושר יצירה, המנוגד לגזע הארי הצרפתי, ואת תולדות צרפת מאז המהפכה כסיפור של השתלטות יהודית הדרגתית על הכלכלה, על העיתונות ועל השלטון. הפתרון שהציע, הפקעת רכוש היהודים והרחקתם מן החיים הציבוריים, נוסח מתוך פסימיות ביחס לסיכויי הגשמתו, אך הוא הכין את הקרקע לתפישה שיהודי אינו יכול להיות צרפתי נאמן .</w:t>
      </w:r>
      <w:r>
        <w:rPr>
          <w:rStyle w:val="FootnoteReference"/>
        </w:rPr>
        <w:footnoteReference w:id="29"/>
      </w:r>
    </w:p>
    <w:p>
      <w:pPr>
        <w:bidi/>
        <w:spacing w:after="120" w:line="360" w:lineRule="auto"/>
        <w:jc w:val="right"/>
      </w:pPr>
      <w:r>
        <w:rPr>
          <w:rFonts w:ascii="David" w:cs="David" w:eastAsia="David" w:hAnsi="David"/>
          <w:sz w:val="24"/>
          <w:szCs w:val="24"/>
          <w:rtl/>
        </w:rPr>
        <w:t xml:space="preserve">בין הופעת ספרו של דרימון לבין פרשת דרייפוס עברה על צרפת גם תנועת בולנז'ה (1887-1889), שבה התלכדו סביב הגנרל ז'ורז' בולנז'ה מונרכיסטים, בונפרטיסטים ורדיקלים ממורמרים בדרישה לרוויזיה של החוקה ולנקמה בגרמניה. התנועה נכשלה, אך היא הראתה שאפשר לגייס המונים נגד הרפובליקה הפרלמנטרית בשם האומה, ובשוליה נוצר החיבור בין לאומנות עממית לאנטישמיות שיאפיין את המחנה האנטי־דרייפוסארי. סטיבן וילסון ראה בשנים אלה את התקופה שבה עברה האנטישמיות הצרפתית מן הספר אל הרחוב .</w:t>
      </w:r>
      <w:r>
        <w:rPr>
          <w:rStyle w:val="FootnoteReference"/>
        </w:rPr>
        <w:footnoteReference w:id="30"/>
      </w:r>
    </w:p>
    <w:p>
      <w:pPr>
        <w:bidi/>
        <w:spacing w:after="120" w:line="360" w:lineRule="auto"/>
        <w:jc w:val="right"/>
      </w:pPr>
      <w:r>
        <w:rPr>
          <w:rFonts w:ascii="David" w:cs="David" w:eastAsia="David" w:hAnsi="David"/>
          <w:sz w:val="24"/>
          <w:szCs w:val="24"/>
          <w:rtl/>
        </w:rPr>
        <w:t xml:space="preserve">בשנות התשעים התמסדה האנטישמיות הצרפתית לתנועה. בשנת 1892 ייסד דרימון את היומון "לה ליבר פארול", שהיה לשופר האנטישמיות ושמילא תפקיד מרכזי בפרשת דרייפוס. באותה שנה סיפקה שערוריית פנמה, פרשת שחיתות שבה היו מעורבים כמה מתווכים יהודים, חומר בעירה לתעמולתו. היומון הקתולי "לה קרואה" של מסדר האסומפציוניסטים הכריז על עצמו "העיתון האנטי־יהודי ביותר בצרפת"; המרקיז דה מורס ארגן כנופיות של סבלים משוק הבשר להפגנות ולתגרות; ובשנת 1897 ייסד ז'ול גראן את "הליגה האנטישמית של צרפת". באלג'יריה הצרפתית, שבה קיבלו היהודים אזרחות בצו כרמייה (1870), צמחה תנועה אנטישמית עממית שהגיעה לשיאה בבחירת מקס רז'יס לראשות עיריית אלג'יר ובמהומות הדמים של 1898 .</w:t>
      </w:r>
      <w:r>
        <w:rPr>
          <w:rStyle w:val="FootnoteReference"/>
        </w:rPr>
        <w:footnoteReference w:id="31"/>
      </w:r>
    </w:p>
    <w:p>
      <w:pPr>
        <w:bidi/>
        <w:spacing w:after="120" w:line="360" w:lineRule="auto"/>
        <w:jc w:val="right"/>
      </w:pPr>
      <w:r>
        <w:rPr>
          <w:rFonts w:ascii="David" w:cs="David" w:eastAsia="David" w:hAnsi="David"/>
          <w:sz w:val="24"/>
          <w:szCs w:val="24"/>
          <w:rtl/>
        </w:rPr>
        <w:t xml:space="preserve">התגובה היהודית לתעמולה זו הייתה מאופקת. ההנהגה הקהילתית, ובראשה הקונסיסטוריה, בחרה בשתיקה ובהסתמכות על המדינה, מחשש שכל פעולה יהודית קולקטיבית תאשר את האשמת "הסינדיקט" היהודי. מייקל מרוס ראה בהתנהגות זו כישלון של אסטרטגיית ההתבוללות; היימן הציעה קריאה סלחנית יותר, שלפיה האיפוק היה בחירה רציונלית של קהילה שביטחונה נשען על הרפובליקה. יוצא דופן היה ברנאר לאזאר, פובליציסט אנרכיסט ממוצא יהודי, שפרסם בשנת 1894 את ספרו "האנטישמיות: תולדותיה וסיבותיה", ובו ניסה להסביר את השנאה במונחים סוציולוגיים ואף הטיל חלק מן האחריות על היהודים עצמם. שנתיים לאחר מכן יהיה לאזאר הראשון שיילחם בפומבי למען דרייפוס .</w:t>
      </w:r>
      <w:r>
        <w:rPr>
          <w:rStyle w:val="FootnoteReference"/>
        </w:rPr>
        <w:footnoteReference w:id="32"/>
      </w:r>
    </w:p>
    <w:p>
      <w:pPr>
        <w:bidi/>
        <w:spacing w:after="120" w:line="360" w:lineRule="auto"/>
        <w:jc w:val="right"/>
      </w:pPr>
      <w:r>
        <w:rPr>
          <w:rFonts w:ascii="David" w:cs="David" w:eastAsia="David" w:hAnsi="David"/>
          <w:sz w:val="24"/>
          <w:szCs w:val="24"/>
          <w:rtl/>
        </w:rPr>
        <w:t xml:space="preserve">היימן הצביעה על פער בין ההצלחה הרטורית של האנטישמיות הצרפתית לבין הצלחתה הפוליטית. בניגוד לגרמניה ולאוסטריה, לא קמה בצרפת מפלגה אנטישמית של ממש, ובבחירות 1898, בשיא הפרשה, נבחרו כעשרים ושניים צירים על מצע אנטישמי, רבים מהם מאלג'יריה. ההסבר טמון בעוצמת המסורת הרפובליקנית ובכך שהאנטישמיות הצרפתית נותרה תופעה של אופוזיציה, של מי שדחו את הרפובליקה עצמה. אך דווקא משום כך יכלה פרשת דרייפוס להפוך למאבק על עצם קיומה של הרפובליקה ולעמוד במוקד הפוליטיקה הצרפתית במשך שנים, בניגוד לאנטישמיות הגרמנית שנותרה בשוליים .</w:t>
      </w:r>
      <w:r>
        <w:rPr>
          <w:rStyle w:val="FootnoteReference"/>
        </w:rPr>
        <w:footnoteReference w:id="33"/>
      </w:r>
    </w:p>
    <w:p>
      <w:pPr>
        <w:pStyle w:val="Heading2"/>
        <w:bidi/>
        <w:spacing w:after="160" w:before="240" w:line="360"/>
        <w:jc w:val="right"/>
      </w:pPr>
      <w:r>
        <w:rPr>
          <w:rFonts w:ascii="David" w:cs="David" w:eastAsia="David" w:hAnsi="David"/>
          <w:b/>
          <w:bCs/>
          <w:sz w:val="28"/>
          <w:szCs w:val="28"/>
          <w:rtl/>
        </w:rPr>
        <w:t xml:space="preserve">6. סיכום הפרק</w:t>
      </w:r>
    </w:p>
    <w:p>
      <w:pPr>
        <w:bidi/>
        <w:spacing w:after="120" w:line="360" w:lineRule="auto"/>
        <w:jc w:val="right"/>
      </w:pPr>
      <w:r>
        <w:rPr>
          <w:rFonts w:ascii="David" w:cs="David" w:eastAsia="David" w:hAnsi="David"/>
          <w:sz w:val="24"/>
          <w:szCs w:val="24"/>
          <w:rtl/>
        </w:rPr>
        <w:t xml:space="preserve">שלושת המקרים שנסקרו נבדלים זה מזה באופן שיסייע להבין את תגובתו של הרצל. בגרמניה הייתה האנטישמיות מושרשת בתרבות הפוליטית, אך המפלגות שנשאו אותה נותרו שוליות. בצרפת הייתה התעמולה עוצמתית והרחוב סוער, אך הכוח הפוליטי חלש, והמאבק על דרייפוס הסתיים בניצחון הרפובליקה. באוסטריה, ורק בה, כבשה מפלגה אנטישמית את השלטון בעיר הבירה, בשנת 1895, בדיוק בחודשים שבהם ניסח הרצל את רעיונו. ההבדל בין המקרים נוגע גם למקום שתפסה האנטישמיות במערכת הפוליטית. בגרמניה ובאוסטריה הייתה האנטישמיות עניין מפלגתי, שאפשר היה למדוד את כוחו במושבים ובקולות, ובשתיהן היא נשענה על שכבות חברתיות מוגדרות של זעיר־בורגנות, איכרים ובעלי מלאכה. בצרפת הייתה האנטישמיות עניין של עיתונות, של ליגות ושל רחוב, ומחנותיה חצו את הגבולות המפלגתיים. מבחינת משקיף יהודי, האנטישמיות הגרמנית והאוסטרית נראתה ניתנת לחיזוי, ואילו הצרפתית נראתה פתאומית ומפתיעה, ודווקא משום כך התאימה לשמש, בדיעבד, סמל להתפרצות בלתי צפויה של שנאה במקום שבו לא ציפו לה .</w:t>
      </w:r>
      <w:r>
        <w:rPr>
          <w:rStyle w:val="FootnoteReference"/>
        </w:rPr>
        <w:footnoteReference w:id="34"/>
      </w:r>
    </w:p>
    <w:p>
      <w:pPr>
        <w:bidi/>
        <w:spacing w:after="120" w:line="360" w:lineRule="auto"/>
        <w:jc w:val="right"/>
      </w:pPr>
      <w:r>
        <w:rPr>
          <w:rFonts w:ascii="David" w:cs="David" w:eastAsia="David" w:hAnsi="David"/>
          <w:sz w:val="24"/>
          <w:szCs w:val="24"/>
          <w:rtl/>
        </w:rPr>
        <w:t xml:space="preserve">הרצל עצמו הגיע אל שנות התשעים כיהודי מתבולל שכבר הכיר את האנטישמיות הווינאית מקרוב, שסיקר את האנטישמיות הצרפתית כעיתונאי, ושהיה נתון במשבר אישי. על רקע זה יבחן הפרק הבא את הגורמים למהפך שלו שאינם קשורים לפרשת דרייפוס .</w:t>
      </w:r>
      <w:r>
        <w:rPr>
          <w:rStyle w:val="FootnoteReference"/>
        </w:rPr>
        <w:footnoteReference w:id="35"/>
      </w:r>
    </w:p>
    <w:p>
      <w:pPr>
        <w:pStyle w:val="Heading1"/>
        <w:pageBreakBefore/>
        <w:bidi/>
        <w:spacing w:after="160" w:before="360" w:line="360"/>
        <w:jc w:val="right"/>
      </w:pPr>
      <w:r>
        <w:rPr>
          <w:rFonts w:ascii="David" w:cs="David" w:eastAsia="David" w:hAnsi="David"/>
          <w:b/>
          <w:bCs/>
          <w:sz w:val="32"/>
          <w:szCs w:val="32"/>
          <w:rtl/>
        </w:rPr>
        <w:t xml:space="preserve">פרק שני: הגורמים למהפך שאינם קשורים לפרשת דרייפוס</w:t>
      </w:r>
    </w:p>
    <w:p>
      <w:pPr>
        <w:bidi/>
        <w:spacing w:after="120" w:line="360" w:lineRule="auto"/>
        <w:jc w:val="right"/>
      </w:pPr>
      <w:r>
        <w:rPr>
          <w:rFonts w:ascii="David" w:cs="David" w:eastAsia="David" w:hAnsi="David"/>
          <w:sz w:val="24"/>
          <w:szCs w:val="24"/>
          <w:rtl/>
        </w:rPr>
        <w:t xml:space="preserve">פרק זה מפרט את הגורמים שהביאו את הרצל אל הרעיון הציוני ושאינם קשורים לפרשת דרייפוס. הדיון נפתח בעדותו של הרצל עצמו, ברשימת הגורמים שערך ביומנו ביוני 1895, וממשיך לפי סדרה: המפגשים המוקדמים עם האנטישמיות בווינה, בית הספר הפוליטי של פריז ותעמולת דרימון, המשבר האישי והמחזה "הגטו החדש", ועליית לואגר לשלטון בווינה. הפרק מסתיים בסקירת המחקר שהעמיד גורמים אלה במרכז.</w:t>
      </w:r>
    </w:p>
    <w:p>
      <w:pPr>
        <w:pStyle w:val="Heading2"/>
        <w:bidi/>
        <w:spacing w:after="160" w:before="240" w:line="360"/>
        <w:jc w:val="right"/>
      </w:pPr>
      <w:r>
        <w:rPr>
          <w:rFonts w:ascii="David" w:cs="David" w:eastAsia="David" w:hAnsi="David"/>
          <w:b/>
          <w:bCs/>
          <w:sz w:val="28"/>
          <w:szCs w:val="28"/>
          <w:rtl/>
        </w:rPr>
        <w:t xml:space="preserve">1. עדות הרצל: רשימת הגורמים ביומן (יוני 1895)</w:t>
      </w:r>
    </w:p>
    <w:p>
      <w:pPr>
        <w:bidi/>
        <w:spacing w:after="120" w:line="360" w:lineRule="auto"/>
        <w:jc w:val="right"/>
      </w:pPr>
      <w:r>
        <w:rPr>
          <w:rFonts w:ascii="David" w:cs="David" w:eastAsia="David" w:hAnsi="David"/>
          <w:sz w:val="24"/>
          <w:szCs w:val="24"/>
          <w:rtl/>
        </w:rPr>
        <w:t xml:space="preserve">באמצע יוני 1895 החל הרצל לנהל יומן שהוקדש כולו למה שכינה "עניין היהודים". הרשימות הראשונות, שנכתבו בפריז בקדחתנות של ימים אחדים, הן המסמך החשוב ביותר להבנת התגבשות רעיונו, מפני שהרצל מנסה בהן להסביר לעצמו כיצד הגיע אליו. הוא פותח בהצהרה שכבר "זמן מה" הוא עוסק ב"יצירה בעלת גדולה אינסופית", ושואל מתי בעצם התחיל לעסוק בשאלת היהודים. תשובתו היא רשימה כרונולוגית: ספרו של דירינג, שקרא בשנת 1882; פרישתו מ"אלביה"; מאמריו על האנטישמיות הצרפתית; רעיון הטבילה ההמונית; המכתב לברון לייטנברגר; ו"הגטו החדש". פרשת דרייפוס אינה מוזכרת ברשימה .</w:t>
      </w:r>
      <w:r>
        <w:rPr>
          <w:rStyle w:val="FootnoteReference"/>
        </w:rPr>
        <w:footnoteReference w:id="36"/>
      </w:r>
    </w:p>
    <w:p>
      <w:pPr>
        <w:bidi/>
        <w:spacing w:after="120" w:line="360" w:lineRule="auto"/>
        <w:jc w:val="right"/>
      </w:pPr>
      <w:r>
        <w:rPr>
          <w:rFonts w:ascii="David" w:cs="David" w:eastAsia="David" w:hAnsi="David"/>
          <w:sz w:val="24"/>
          <w:szCs w:val="24"/>
          <w:rtl/>
        </w:rPr>
        <w:t xml:space="preserve">שלמה אבינרי ראה ביומן "רומן חניכה" שהרצל כתב על עצמו, ובחר לקרוא אותו לא רק כמקור לעובדות אלא כעדות לאופן שבו הבין הרצל את התפתחותו בזמן אמת. קריאה זו מלמדת שביוני 1895 היה הרצל משוכנע שהרעיון צמח מתוך הצטברות ארוכה של התנסויות וינאיות ופריזאיות, ולא מתוך אירוע אחד. הסעיפים הבאים בוחנים את התנסויות אלה לפי סדרן .</w:t>
      </w:r>
      <w:r>
        <w:rPr>
          <w:rStyle w:val="FootnoteReference"/>
        </w:rPr>
        <w:footnoteReference w:id="37"/>
      </w:r>
    </w:p>
    <w:p>
      <w:pPr>
        <w:pStyle w:val="Heading2"/>
        <w:bidi/>
        <w:spacing w:after="160" w:before="240" w:line="360"/>
        <w:jc w:val="right"/>
      </w:pPr>
      <w:r>
        <w:rPr>
          <w:rFonts w:ascii="David" w:cs="David" w:eastAsia="David" w:hAnsi="David"/>
          <w:b/>
          <w:bCs/>
          <w:sz w:val="28"/>
          <w:szCs w:val="28"/>
          <w:rtl/>
        </w:rPr>
        <w:t xml:space="preserve">2. המפגשים המוקדמים: דירינג ואגודת "אלביה"</w:t>
      </w:r>
    </w:p>
    <w:p>
      <w:pPr>
        <w:bidi/>
        <w:spacing w:after="120" w:line="360" w:lineRule="auto"/>
        <w:jc w:val="right"/>
      </w:pPr>
      <w:r>
        <w:rPr>
          <w:rFonts w:ascii="David" w:cs="David" w:eastAsia="David" w:hAnsi="David"/>
          <w:sz w:val="24"/>
          <w:szCs w:val="24"/>
          <w:rtl/>
        </w:rPr>
        <w:t xml:space="preserve">הרצל קרא את ספרו של דירינג בפברואר 1882, בהיותו סטודנט בן עשרים ושתיים, ורשם ביומנו הערות ארוכות. הוא הכיר בכישרונו של דירינג אך הזדעזע מכך שאדם משכיל מסוגל להטיף לשנאה גזעית: אם דירינג המלומד כותב כך, שאל, מה יכתבו ההמונים הבורים? הוא דחה את פתרונו של דירינג, אך קיבל חלק מביקורתו על "פגמי" היהודים, וטען שהאמנציפציה תרפא אותם בתוך דורות אחדים. עמדה זו, הכרה בקיום האנטישמיות יחד עם אמונה שההתבוללות היא התשובה לה, אפיינה את הרצל במשך יותר מעשור .</w:t>
      </w:r>
      <w:r>
        <w:rPr>
          <w:rStyle w:val="FootnoteReference"/>
        </w:rPr>
        <w:footnoteReference w:id="38"/>
      </w:r>
    </w:p>
    <w:p>
      <w:pPr>
        <w:bidi/>
        <w:spacing w:after="120" w:line="360" w:lineRule="auto"/>
        <w:jc w:val="right"/>
      </w:pPr>
      <w:r>
        <w:rPr>
          <w:rFonts w:ascii="David" w:cs="David" w:eastAsia="David" w:hAnsi="David"/>
          <w:sz w:val="24"/>
          <w:szCs w:val="24"/>
          <w:rtl/>
        </w:rPr>
        <w:t xml:space="preserve">התנסות ממשית יותר באה בשנת 1883. הרצל היה חבר באגודת הסטודנטים "אלביה", אחת מאגודות הדו־קרב הלאומיות־גרמניות של האוניברסיטה. במרץ 1883, בעצרת זיכרון לריכרד ואגנר, נשא הסטודנט הרמן באר נאום אנטישמי, ו"אלביה" התייצבה מאחוריו. הרצל הודיע במכתב על פרישתו, והאגודה השיבה שהוא מסולק ממנה בין כה וכה. כעבור שנתיים החליטו האגודות הלאומיות בווינה שלא לקבל יהודים כלל, ובשנת 1896 קבעה ועידתן שאין יהודי ראוי לסיפוק בדו־קרב מפני ש"היהודי חסר כבוד". הרצל למד על בשרו, כבר בשנות העשרים לחייו, שהאמנציפציה בווינה נעצרת בשערי החברה הגרמנית־לאומית. הנושא של כבוד ושל דו־קרב ילווה אותו מכאן ואילך, ויחזור בפתרונות הפנטסטיים של 1893 ובמחזה של 1894 .</w:t>
      </w:r>
      <w:r>
        <w:rPr>
          <w:rStyle w:val="FootnoteReference"/>
        </w:rPr>
        <w:footnoteReference w:id="39"/>
      </w:r>
    </w:p>
    <w:p>
      <w:pPr>
        <w:pStyle w:val="Heading2"/>
        <w:bidi/>
        <w:spacing w:after="160" w:before="240" w:line="360"/>
        <w:jc w:val="right"/>
      </w:pPr>
      <w:r>
        <w:rPr>
          <w:rFonts w:ascii="David" w:cs="David" w:eastAsia="David" w:hAnsi="David"/>
          <w:b/>
          <w:bCs/>
          <w:sz w:val="28"/>
          <w:szCs w:val="28"/>
          <w:rtl/>
        </w:rPr>
        <w:t xml:space="preserve">3. בית הספר של פריז: פרלמנט, המונים ודרימון</w:t>
      </w:r>
    </w:p>
    <w:p>
      <w:pPr>
        <w:bidi/>
        <w:spacing w:after="120" w:line="360" w:lineRule="auto"/>
        <w:jc w:val="right"/>
      </w:pPr>
      <w:r>
        <w:rPr>
          <w:rFonts w:ascii="David" w:cs="David" w:eastAsia="David" w:hAnsi="David"/>
          <w:sz w:val="24"/>
          <w:szCs w:val="24"/>
          <w:rtl/>
        </w:rPr>
        <w:t xml:space="preserve">ארבע שנות הכתבות מפריז לימדו את הרצל שני לקחים שאינם יהודיים במקורם, ושניהם יופיעו ב"מדינת היהודים". הלקח הראשון נגע לפרלמנטריזם. הרצל הגיע לפריז כליברל שהאמין בפרלמנט כמוסד הרציונלי של המדינה, וראה בבית הנבחרים הצרפתי מוסד של דמגוגיה ואינטריגות. שערוריית פנמה, שבה התגלה כי מאות צירים קיבלו שוחד מחברת התעלה, גמרה את אמונו בפוליטיקה הפרלמנטרית. הלקח השני נגע להמונים: משפטי האנרכיסטים והתהלוכות ברחובות לימדו אותו שהפוליטיקה המודרנית מתנהלת ברחוב ובעיתון, ושמי שרוצה להניע בני אדם צריך לפנות אל דמיונם באמצעות סמלים ודגלים. דרק פנסלר הראה כיצד עיצבו תובנות אלה את תפישת המנהיגות של הרצל ואת האופי התיאטרלי של הקונגרסים הציוניים .</w:t>
      </w:r>
      <w:r>
        <w:rPr>
          <w:rStyle w:val="FootnoteReference"/>
        </w:rPr>
        <w:footnoteReference w:id="40"/>
      </w:r>
    </w:p>
    <w:p>
      <w:pPr>
        <w:bidi/>
        <w:spacing w:after="120" w:line="360" w:lineRule="auto"/>
        <w:jc w:val="right"/>
      </w:pPr>
      <w:r>
        <w:rPr>
          <w:rFonts w:ascii="David" w:cs="David" w:eastAsia="David" w:hAnsi="David"/>
          <w:sz w:val="24"/>
          <w:szCs w:val="24"/>
          <w:rtl/>
        </w:rPr>
        <w:t xml:space="preserve">תגובתו הראשונה של הרצל לאנטישמיות הצרפתית לא הייתה ציונית. במאמרו משנת 1892 ניתח את התופעה בקור רוח, הביע הבנה למניעיה החברתיים, השנאה ל"הון היהודי" כהסחה של מאבק המעמדות, וסיים באמונה שהיא תיעלם עם התקדמות החברה. הפתרונות שהעלה בשנים 1892-1893 היו פתרונות של מתבולל. בסתיו 1893 הגה תוכנית שלפיה יוביל את יהודי אוסטריה בתהלוכה לקתדרלת סטפן הקדוש בווינה, שם יטבלו לנצרות לקול צלצול הפעמונים, בעוד הוא ובני דורו יישארו יהודים כ"דור המעבר האחרון". במכתב לברון פרידריך לייטנברגר, מייסד אגודה להגנה מפני האנטישמיות, הציע לקרוא לדו־קרב את מנהיגי האנטישמים באוסטריה: אם ייהרג, ישאיר מכתב שיזעזע את העולם; אם יהרוג את יריבו, יישא בבית המשפט נאום שיזכה את היהודים כולם. הפתרונות הללו מלמדים שהרצל תפש את השאלה היהודית כבעיה חברתית שפתרונה בתוך אירופה, וכבעיה של כבוד .</w:t>
      </w:r>
      <w:r>
        <w:rPr>
          <w:rStyle w:val="FootnoteReference"/>
        </w:rPr>
        <w:footnoteReference w:id="41"/>
      </w:r>
    </w:p>
    <w:p>
      <w:pPr>
        <w:bidi/>
        <w:spacing w:after="120" w:line="360" w:lineRule="auto"/>
        <w:jc w:val="right"/>
      </w:pPr>
      <w:r>
        <w:rPr>
          <w:rFonts w:ascii="David" w:cs="David" w:eastAsia="David" w:hAnsi="David"/>
          <w:sz w:val="24"/>
          <w:szCs w:val="24"/>
          <w:rtl/>
        </w:rPr>
        <w:t xml:space="preserve">ברשימה ביומן מ-12 ביוני 1895 כתב הרצל משפט מפתיע: הרבה מחופש התפישה הנוכחי שלו הוא חב לדרימון, "משום שהוא אמן". קורנברג פירש זאת כך: דרימון לימד את הרצל לראות את השאלה היהודית לא כבעיה מוסרית של דעה קדומה שיש לחנך נגדה, אלא כעובדה חברתית־לאומית אובייקטיבית, היהודים כגוף זר בחברה, שיש להסיק ממנה מסקנה מעשית. דרימון הסיק את גירוש היהודים, והרצל את יציאתם מרצון. תפישה זו של האנטישמיות כעובדה שאין להתווכח עמה אלא לנצלה הביאה את הרצל לכתוב ב"מדינת היהודים" שהאנטישמים יהיו "ידידינו הנאמנים ביותר", ואף לרשום ביומנו בסיפוק את הביקורת האוהדת שפרסם "לה ליבר פארול" על חוברתו בינואר 1897 .</w:t>
      </w:r>
      <w:r>
        <w:rPr>
          <w:rStyle w:val="FootnoteReference"/>
        </w:rPr>
        <w:footnoteReference w:id="42"/>
      </w:r>
    </w:p>
    <w:p>
      <w:pPr>
        <w:pStyle w:val="Heading2"/>
        <w:bidi/>
        <w:spacing w:after="160" w:before="240" w:line="360"/>
        <w:jc w:val="right"/>
      </w:pPr>
      <w:r>
        <w:rPr>
          <w:rFonts w:ascii="David" w:cs="David" w:eastAsia="David" w:hAnsi="David"/>
          <w:b/>
          <w:bCs/>
          <w:sz w:val="28"/>
          <w:szCs w:val="28"/>
          <w:rtl/>
        </w:rPr>
        <w:t xml:space="preserve">4. המשבר האישי ו"הגטו החדש"</w:t>
      </w:r>
    </w:p>
    <w:p>
      <w:pPr>
        <w:bidi/>
        <w:spacing w:after="120" w:line="360" w:lineRule="auto"/>
        <w:jc w:val="right"/>
      </w:pPr>
      <w:r>
        <w:rPr>
          <w:rFonts w:ascii="David" w:cs="David" w:eastAsia="David" w:hAnsi="David"/>
          <w:sz w:val="24"/>
          <w:szCs w:val="24"/>
          <w:rtl/>
        </w:rPr>
        <w:t xml:space="preserve">הביוגרפים מסכימים שהרצל של השנים 1893-1895 היה אדם במשבר. נישואיו התפרקו בפועל, אשתו ושלושת ילדיו חיו בווינה בעוד הוא בפריז; מחזותיו נדחו או נכשלו; ומכתביו לידידיו מלאים בתלונות על חוסר תוחלת. עמוס אלון קשר את המשבר לגיל: הרצל התקרב לגיל שלושים וחמש בתחושה שהחמיץ את ייעודו, וחיפש משימה שתצדיק את חייו. פנסלר תיאר את המצב כ"פתיחות קיצונית לרשמים", שבה הצטברו במשך שנים תובנות שהמתינו לניסוח .</w:t>
      </w:r>
      <w:r>
        <w:rPr>
          <w:rStyle w:val="FootnoteReference"/>
        </w:rPr>
        <w:footnoteReference w:id="43"/>
      </w:r>
    </w:p>
    <w:p>
      <w:pPr>
        <w:bidi/>
        <w:spacing w:after="120" w:line="360" w:lineRule="auto"/>
        <w:jc w:val="right"/>
      </w:pPr>
      <w:r>
        <w:rPr>
          <w:rFonts w:ascii="David" w:cs="David" w:eastAsia="David" w:hAnsi="David"/>
          <w:sz w:val="24"/>
          <w:szCs w:val="24"/>
          <w:rtl/>
        </w:rPr>
        <w:t xml:space="preserve">מתוך משבר זה נכתב "הגטו החדש", בפריז, בין 21 באוקטובר ל-8 בנובמבר 1894, בשבועות שבהם נעצר דרייפוס ושבהם התפרסם דבר מעצרו, אך לפני משפטו. המחזה מספר על עורך הדין היהודי יעקב שמואל, אדם ישר ואציל־רוח, שמנסה לחיות כאזרח שווה בחברה הווינאית, נדחה על ידי ידידו הנוצרי, נסחט על ידי גיסו הספסר ומוצא את מותו בדו־קרב עם קצין אנטישמי. במילותיו האחרונות הוא קורא: החוצה מן הגטו! המסר כפול. מצד אחד, האמנציפציה המשפטית לא ביטלה את "הגטו החדש", החומות הבלתי נראות של הדעה הקדומה. מצד שני, המחזה אינו מציע פתרון לאומי, וגיבורו אינו מבקש לצאת מאירופה אלא להיות מקובל בה. יש בו האשמה כלפי היהודים, על התעסקותם בכסף ועל היעדר הכבוד, לא פחות מאשר כלפי הסביבה .</w:t>
      </w:r>
      <w:r>
        <w:rPr>
          <w:rStyle w:val="FootnoteReference"/>
        </w:rPr>
        <w:footnoteReference w:id="44"/>
      </w:r>
    </w:p>
    <w:p>
      <w:pPr>
        <w:bidi/>
        <w:spacing w:after="120" w:line="360" w:lineRule="auto"/>
        <w:jc w:val="right"/>
      </w:pPr>
      <w:r>
        <w:rPr>
          <w:rFonts w:ascii="David" w:cs="David" w:eastAsia="David" w:hAnsi="David"/>
          <w:sz w:val="24"/>
          <w:szCs w:val="24"/>
          <w:rtl/>
        </w:rPr>
        <w:t xml:space="preserve">חשיבות המחזה לענייננו כפולה. מבחינה כרונולוגית הוא מוכיח שהשאלה היהודית העסיקה את הרצל באינטנסיביות לפני שדרייפוס נעשה עניין ציבורי, ושהמשבר שהוביל לציונות היה בעיצומו בסתיו 1894. מבחינה תוכנית הוא מוכיח שגם אז, כשלושה חודשים לפני טקס הורדת הדרגות, טרם הגיע הרצל למסקנה הלאומית. הרצל שלח את המחזה לתיאטראות בשם בדוי ונדחה בכל מקום; הוא הוצג לראשונה בינואר 1898 בווינה, כשמחברו כבר היה מנהיג ציוני .</w:t>
      </w:r>
      <w:r>
        <w:rPr>
          <w:rStyle w:val="FootnoteReference"/>
        </w:rPr>
        <w:footnoteReference w:id="45"/>
      </w:r>
    </w:p>
    <w:p>
      <w:pPr>
        <w:pStyle w:val="Heading2"/>
        <w:bidi/>
        <w:spacing w:after="160" w:before="240" w:line="360"/>
        <w:jc w:val="right"/>
      </w:pPr>
      <w:r>
        <w:rPr>
          <w:rFonts w:ascii="David" w:cs="David" w:eastAsia="David" w:hAnsi="David"/>
          <w:b/>
          <w:bCs/>
          <w:sz w:val="28"/>
          <w:szCs w:val="28"/>
          <w:rtl/>
        </w:rPr>
        <w:t xml:space="preserve">5. וינה 1895: עליית לואגר</w:t>
      </w:r>
    </w:p>
    <w:p>
      <w:pPr>
        <w:bidi/>
        <w:spacing w:after="120" w:line="360" w:lineRule="auto"/>
        <w:jc w:val="right"/>
      </w:pPr>
      <w:r>
        <w:rPr>
          <w:rFonts w:ascii="David" w:cs="David" w:eastAsia="David" w:hAnsi="David"/>
          <w:sz w:val="24"/>
          <w:szCs w:val="24"/>
          <w:rtl/>
        </w:rPr>
        <w:t xml:space="preserve">מה מופיע ביומן של יוני 1895 במקום דרייפוס? בראש ובראשונה וינה. הרצל עקב מפריז אחר הבחירות לעיריית וינה באביב 1895, שבהן זכתה מפלגתו של לואגר ברוב, ורשם את חרדתו מפני המתרחש בעירו. בשיחה עם העיתונאי לודוויג שפיידל, שאותה תיעד ביומן, דן במקורות האנטישמיות הווינאית, ובמכתבו לברון הירש כתב על מצבם המחמיר של היהודים באוסטריה. אבינרי הדגיש שניצחון לואגר, עלייתה לשלטון של מפלגה אנטישמית מוצהרת בעיר הבירה של הליברליזם היהודי, הוא האירוע הפוליטי שהעסיק את הרצל בשבועות שבהם נולד הרעיון. הרצל, שנועד לשוב לווינה בקיץ 1895 כעורך המדור הספרותי של עיתונו, ראה בעליית לואגר את קץ העידן שבו יכלו יהודי אוסטריה לראות את עצמם כאזרחים שווים, ואת הראיה לכך שהאמנציפציה ניתנת לביטול בפועל אם לא בחוק .</w:t>
      </w:r>
      <w:r>
        <w:rPr>
          <w:rStyle w:val="FootnoteReference"/>
        </w:rPr>
        <w:footnoteReference w:id="46"/>
      </w:r>
    </w:p>
    <w:p>
      <w:pPr>
        <w:bidi/>
        <w:spacing w:after="120" w:line="360" w:lineRule="auto"/>
        <w:jc w:val="right"/>
      </w:pPr>
      <w:r>
        <w:rPr>
          <w:rFonts w:ascii="David" w:cs="David" w:eastAsia="David" w:hAnsi="David"/>
          <w:sz w:val="24"/>
          <w:szCs w:val="24"/>
          <w:rtl/>
        </w:rPr>
        <w:t xml:space="preserve">הפגישה עם הברון מוריס דה הירש ב-2 ביוני 1895 מלמדת על מצב הרעיון באותם ימים. הרצל הגיע אליה עם עשרים ושניים עמודים של רשימות, תקף את פעולת ההתיישבות של הירש בארגנטינה כפילנתרופיה המשחיתה את היהודים, וטען שיש להעמיד להם מטרה לאומית, דגל, שתעורר בהם כבוד. הירש קטע אותו, והפגישה הסתיימה בלא כלום. בימים שלאחריה כתב הרצל את "הנאום לרוטשילדים", טיוטה של כשישים עמודים שמעולם לא נישאה, ובה מופיעים כבר עיקרי "מדינת היהודים": האנטישמיות כתופעה בלתי הפיכה, ההגירה המאורגנת, "אגודת היהודים" ו"החברה היהודית". גם במסמכים אלה אין זכר לדרייפוס .</w:t>
      </w:r>
      <w:r>
        <w:rPr>
          <w:rStyle w:val="FootnoteReference"/>
        </w:rPr>
        <w:footnoteReference w:id="47"/>
      </w:r>
    </w:p>
    <w:p>
      <w:pPr>
        <w:pStyle w:val="Heading2"/>
        <w:bidi/>
        <w:spacing w:after="160" w:before="240" w:line="360"/>
        <w:jc w:val="right"/>
      </w:pPr>
      <w:r>
        <w:rPr>
          <w:rFonts w:ascii="David" w:cs="David" w:eastAsia="David" w:hAnsi="David"/>
          <w:b/>
          <w:bCs/>
          <w:sz w:val="28"/>
          <w:szCs w:val="28"/>
          <w:rtl/>
        </w:rPr>
        <w:t xml:space="preserve">6. הגורמים במחקר: קורנברג, אבינרי, שורסקה ובלר</w:t>
      </w:r>
    </w:p>
    <w:p>
      <w:pPr>
        <w:bidi/>
        <w:spacing w:after="120" w:line="360" w:lineRule="auto"/>
        <w:jc w:val="right"/>
      </w:pPr>
      <w:r>
        <w:rPr>
          <w:rFonts w:ascii="David" w:cs="David" w:eastAsia="David" w:hAnsi="David"/>
          <w:sz w:val="24"/>
          <w:szCs w:val="24"/>
          <w:rtl/>
        </w:rPr>
        <w:t xml:space="preserve">הערעור השיטתי הראשון על התיאור המקובל בא במאמרו של קורנברג משנת 1980 ובספרו משנת 1993. קורנברג ביסס את טענתו על דיווחי הרצל מפריז, על שתיקת היומן בעניין דרייפוס ועל "הגטו החדש", וחיפש את הסבר המהפך בתחום הפסיכולוגי־תרבותי: הציונות של הרצל הייתה פתרון למשבר של זהות יהודית מתבוללת שהפנימה את בוז הסביבה, וניסיון להחזיר ליהודים את כבודם באמצעות הפיכתם לעם ריבוני .</w:t>
      </w:r>
      <w:r>
        <w:rPr>
          <w:rStyle w:val="FootnoteReference"/>
        </w:rPr>
        <w:footnoteReference w:id="48"/>
      </w:r>
    </w:p>
    <w:p>
      <w:pPr>
        <w:bidi/>
        <w:spacing w:after="120" w:line="360" w:lineRule="auto"/>
        <w:jc w:val="right"/>
      </w:pPr>
      <w:r>
        <w:rPr>
          <w:rFonts w:ascii="David" w:cs="David" w:eastAsia="David" w:hAnsi="David"/>
          <w:sz w:val="24"/>
          <w:szCs w:val="24"/>
          <w:rtl/>
        </w:rPr>
        <w:t xml:space="preserve">אבינרי העביר את מרכז הכובד מפריז לווינה, והוסיף טיעון היסטוריוגרפי: הרצל בנה בשנת 1899 את "מיתוס דרייפוס" משום שהיה זקוק לסיפור מוצא שידבר אל יהודי המערב ולא אל סכסוכים מקומיים באוסטריה, וההיסטוריונים הציונים אימצו את המיתוס משום שסיפק לתנועה ציווי מוסרי אוניברסלי .</w:t>
      </w:r>
      <w:r>
        <w:rPr>
          <w:rStyle w:val="FootnoteReference"/>
        </w:rPr>
        <w:footnoteReference w:id="49"/>
      </w:r>
      <w:r>
        <w:rPr>
          <w:rFonts w:ascii="David" w:cs="David" w:eastAsia="David" w:hAnsi="David"/>
          <w:sz w:val="24"/>
          <w:szCs w:val="24"/>
          <w:rtl/>
        </w:rPr>
        <w:t xml:space="preserve"> שורסקה הציג את הרצל כחלק מ"השלישייה האוסטרית", לצד שנרר ולואגר, וטען שניתן להבין את הציונות שלו רק בהקשר הווינאי של שקיעת הליברליזם ועליית פוליטיקת ההמונים .</w:t>
      </w:r>
      <w:r>
        <w:rPr>
          <w:rStyle w:val="FootnoteReference"/>
        </w:rPr>
        <w:footnoteReference w:id="50"/>
      </w:r>
      <w:r>
        <w:rPr>
          <w:rFonts w:ascii="David" w:cs="David" w:eastAsia="David" w:hAnsi="David"/>
          <w:sz w:val="24"/>
          <w:szCs w:val="24"/>
          <w:rtl/>
        </w:rPr>
        <w:t xml:space="preserve"> רוברט ויסטריך הדגיש אף הוא את המקור הווינאי ואת כישרונו של הרצל לבנות מיתוסים, ובכלל זה את מיתוס הולדתו שלו כציוני .</w:t>
      </w:r>
      <w:r>
        <w:rPr>
          <w:rStyle w:val="FootnoteReference"/>
        </w:rPr>
        <w:footnoteReference w:id="51"/>
      </w:r>
    </w:p>
    <w:p>
      <w:pPr>
        <w:bidi/>
        <w:spacing w:after="120" w:line="360" w:lineRule="auto"/>
        <w:jc w:val="right"/>
      </w:pPr>
      <w:r>
        <w:rPr>
          <w:rFonts w:ascii="David" w:cs="David" w:eastAsia="David" w:hAnsi="David"/>
          <w:sz w:val="24"/>
          <w:szCs w:val="24"/>
          <w:rtl/>
        </w:rPr>
        <w:t xml:space="preserve">עמדת ביניים הציע סטיבן בלר. הוא קיבל שהרקע הווינאי חשוב מן הפריזאי, אך הבחין בין הסיבה למהפך לבין המסגרת שלו: וינה סיפקה את הסיבה, משבר הליברליזם ועליית לואגר, ואילו פריז סיפקה את המסגרת הרעיונית, שכן רק בצרפת, ארץ האמנציפציה המלאה, יכול היה הרצל לנסח את הטענה העקרונית שהאמנציפציה כשלעצמה אינה פותרת את השאלה היהודית. אלמלא שהה בפריז, ייתכן שהיה מגיע למסקנה מקומית, שאוסטריה אינה מקום ליהודים, ולא למסקנה שאין מקום ליהודים באירופה כולה .</w:t>
      </w:r>
      <w:r>
        <w:rPr>
          <w:rStyle w:val="FootnoteReference"/>
        </w:rPr>
        <w:footnoteReference w:id="52"/>
      </w:r>
    </w:p>
    <w:p>
      <w:pPr>
        <w:pStyle w:val="Heading2"/>
        <w:bidi/>
        <w:spacing w:after="160" w:before="240" w:line="360"/>
        <w:jc w:val="right"/>
      </w:pPr>
      <w:r>
        <w:rPr>
          <w:rFonts w:ascii="David" w:cs="David" w:eastAsia="David" w:hAnsi="David"/>
          <w:b/>
          <w:bCs/>
          <w:sz w:val="28"/>
          <w:szCs w:val="28"/>
          <w:rtl/>
        </w:rPr>
        <w:t xml:space="preserve">7. סיכום הפרק</w:t>
      </w:r>
    </w:p>
    <w:p>
      <w:pPr>
        <w:bidi/>
        <w:spacing w:after="120" w:line="360" w:lineRule="auto"/>
        <w:jc w:val="right"/>
      </w:pPr>
      <w:r>
        <w:rPr>
          <w:rFonts w:ascii="David" w:cs="David" w:eastAsia="David" w:hAnsi="David"/>
          <w:sz w:val="24"/>
          <w:szCs w:val="24"/>
          <w:rtl/>
        </w:rPr>
        <w:t xml:space="preserve">הגורמים שנסקרו מצטרפים לשרשרת: היכרות ממושכת עם האנטישמיות הווינאית מאז 1882, לקחי פריז בדבר הפוליטיקה ההמונית, תפישת האנטישמיות כעובדה אובייקטיבית שלמד מדרימון, משבר אישי שדרש משימה כוללת, ומכה פוליטית בבית, ניצחון לואגר, בדיוק בחודשים שבהם נולד הרעיון. הרצל עצמו, כשמנה את הגורמים ביומנו, מנה את אלה ולא את דרייפוס. הפרק הבא יבחן מה מקומה של הפרשה לצדם .</w:t>
      </w:r>
      <w:r>
        <w:rPr>
          <w:rStyle w:val="FootnoteReference"/>
        </w:rPr>
        <w:footnoteReference w:id="53"/>
      </w:r>
    </w:p>
    <w:p>
      <w:pPr>
        <w:pStyle w:val="Heading1"/>
        <w:pageBreakBefore/>
        <w:bidi/>
        <w:spacing w:after="160" w:before="360" w:line="360"/>
        <w:jc w:val="right"/>
      </w:pPr>
      <w:r>
        <w:rPr>
          <w:rFonts w:ascii="David" w:cs="David" w:eastAsia="David" w:hAnsi="David"/>
          <w:b/>
          <w:bCs/>
          <w:sz w:val="32"/>
          <w:szCs w:val="32"/>
          <w:rtl/>
        </w:rPr>
        <w:t xml:space="preserve">פרק שלישי: פרשת דרייפוס והרצל</w:t>
      </w:r>
    </w:p>
    <w:p>
      <w:pPr>
        <w:bidi/>
        <w:spacing w:after="120" w:line="360" w:lineRule="auto"/>
        <w:jc w:val="right"/>
      </w:pPr>
      <w:r>
        <w:rPr>
          <w:rFonts w:ascii="David" w:cs="David" w:eastAsia="David" w:hAnsi="David"/>
          <w:sz w:val="24"/>
          <w:szCs w:val="24"/>
          <w:rtl/>
        </w:rPr>
        <w:t xml:space="preserve">פרק זה מתמקד בגורם שעליו נסב הוויכוח: פרשת דרייפוס. חלקו הראשון משחזר את השתלשלות הפרשה. חלקו השני בוחן את הרצל כעד, את דיווחיו מן המשפט ומטקס הורדת הדרגות ואת היעדר הפרשה מיומנו ומ"מדינת היהודים". חלקו השלישי עוקב אחר שובה של הפרשה לכתיבתו בשנים 1897-1899, עד למאמר שבו הכריז שמשפט דרייפוס עשה אותו לציוני. החלק הרביעי סוקר את הוויכוח ההיסטוריוגרפי, והחמישי מציע הכרעה.</w:t>
      </w:r>
    </w:p>
    <w:p>
      <w:pPr>
        <w:pStyle w:val="Heading2"/>
        <w:bidi/>
        <w:spacing w:after="160" w:before="240" w:line="360"/>
        <w:jc w:val="right"/>
      </w:pPr>
      <w:r>
        <w:rPr>
          <w:rFonts w:ascii="David" w:cs="David" w:eastAsia="David" w:hAnsi="David"/>
          <w:b/>
          <w:bCs/>
          <w:sz w:val="28"/>
          <w:szCs w:val="28"/>
          <w:rtl/>
        </w:rPr>
        <w:t xml:space="preserve">1. השתלשלות הפרשה (1894-1906)</w:t>
      </w:r>
    </w:p>
    <w:p>
      <w:pPr>
        <w:bidi/>
        <w:spacing w:after="120" w:line="360" w:lineRule="auto"/>
        <w:jc w:val="right"/>
      </w:pPr>
      <w:r>
        <w:rPr>
          <w:rFonts w:ascii="David" w:cs="David" w:eastAsia="David" w:hAnsi="David"/>
          <w:sz w:val="24"/>
          <w:szCs w:val="24"/>
          <w:rtl/>
        </w:rPr>
        <w:t xml:space="preserve">אלפרד דרייפוס נולד בשנת 1859 במילוז שבאלזס למשפחת תעשיינים יהודית. לאחר סיפוח אלזס לגרמניה בחרה המשפחה באזרחות צרפתית, ואלפרד בחר בקריירה צבאית ובשנת 1893 היה לקצין היהודי היחיד שהוצב כמתלמד במטה הכללי. בספטמבר 1894 הגיע לידי המודיעין הצרפתי מסמך, ה"בורדרו", שנשלף מסל האשפה של הנספח הצבאי הגרמני, ובו רשימת מסמכים שכותבו האלמוני הציע למסור לגרמנים. החקירה התמקדה בדרייפוס על יסוד דמיון מפוקפק בכתב היד ועל יסוד מוצאו האלזסי וידיעת הגרמנית. הוא נעצר ב-15 באוקטובר 1894, וב-1 בנובמבר פרסם "לה ליבר פארול" את דבר המעצר תחת הכותרת "בגידה: מעצרו של הקצין היהודי א' דרייפוס". מאותו רגע הפעילה העיתונות האנטישמית לחץ על משרד המלחמה שלא "לוותר ליהודים", ולחץ זה תרם להחלטה להעמידו לדין חרף חולשת הראיות .</w:t>
      </w:r>
      <w:r>
        <w:rPr>
          <w:rStyle w:val="FootnoteReference"/>
        </w:rPr>
        <w:footnoteReference w:id="54"/>
      </w:r>
    </w:p>
    <w:p>
      <w:pPr>
        <w:bidi/>
        <w:spacing w:after="120" w:line="360" w:lineRule="auto"/>
        <w:jc w:val="right"/>
      </w:pPr>
      <w:r>
        <w:rPr>
          <w:rFonts w:ascii="David" w:cs="David" w:eastAsia="David" w:hAnsi="David"/>
          <w:sz w:val="24"/>
          <w:szCs w:val="24"/>
          <w:rtl/>
        </w:rPr>
        <w:t xml:space="preserve">המשפט הצבאי התנהל בדלתיים סגורות בדצמבר 1894. משנתברר שהראיות אינן מספיקות, העביר שר המלחמה לשופטים "תיק סודי" של מסמכים, חלקם מזויפים, מבלי שההגנה ידעה על קיומו. ב-22 בדצמבר הורשע דרייפוס פה אחד ונידון לגירוש עולם. ב-5 בינואר 1895 נערך טקס הורדת הדרגות בחצר בית הספר הצבאי: דרגותיו נתלשו וחרבו נשברה לעיני אלפי חיילים וקהל, בעוד הוא זועק שהוא חף מפשע, ומן ההמון בקעו קריאות "מוות לבוגד", ולפי כמה עדויות גם "מוות ליהודים". באפריל הובל לאי השדים שבגיאנה, שם הוחזק בבידוד יותר מארבע שנים. בציבור הצרפתי, ובכלל זה ברוב יהודי צרפת, לא היה בשלב זה ספק באשמתו .</w:t>
      </w:r>
      <w:r>
        <w:rPr>
          <w:rStyle w:val="FootnoteReference"/>
        </w:rPr>
        <w:footnoteReference w:id="55"/>
      </w:r>
    </w:p>
    <w:p>
      <w:pPr>
        <w:bidi/>
        <w:spacing w:after="120" w:line="360" w:lineRule="auto"/>
        <w:jc w:val="right"/>
      </w:pPr>
      <w:r>
        <w:rPr>
          <w:rFonts w:ascii="David" w:cs="David" w:eastAsia="David" w:hAnsi="David"/>
          <w:sz w:val="24"/>
          <w:szCs w:val="24"/>
          <w:rtl/>
        </w:rPr>
        <w:t xml:space="preserve">שני גורמים הפכו את "המקרה" ל"פרשה". הראשון היה מתיה דרייפוס, אחיו של הנידון, שגייס לצדו את ברנאר לאזאר; בנובמבר 1896 פרסם לאזאר בבריסל את חוברתו "טעות משפטית", הניסיון השיטתי הראשון להראות שדרייפוס הורשע מתוך דעה קדומה. השני היה הלוטננט־קולונל ז'ורז' פיקאר, ראש המודיעין החדש, שגילה במרץ 1896 כי כתב היד של ה"בורדרו" זהה לכתב ידו של המייג'ור פרדינן ולסן־אסטרהזי. פיקאר הורחק לצפון אפריקה, אך גילוייו הגיעו לסגן נשיא הסנאט שרר־קסטנר, ומנובמבר 1897 היה שמו של אסטרהזי ידוע ברבים. הצבא זימן את אסטרהזי למשפט מבוים, וב-11 בינואר 1898 זיכה אותו .</w:t>
      </w:r>
      <w:r>
        <w:rPr>
          <w:rStyle w:val="FootnoteReference"/>
        </w:rPr>
        <w:footnoteReference w:id="56"/>
      </w:r>
    </w:p>
    <w:p>
      <w:pPr>
        <w:bidi/>
        <w:spacing w:after="120" w:line="360" w:lineRule="auto"/>
        <w:jc w:val="right"/>
      </w:pPr>
      <w:r>
        <w:rPr>
          <w:rFonts w:ascii="David" w:cs="David" w:eastAsia="David" w:hAnsi="David"/>
          <w:sz w:val="24"/>
          <w:szCs w:val="24"/>
          <w:rtl/>
        </w:rPr>
        <w:t xml:space="preserve">יומיים לאחר מכן פרסם אמיל זולא ב"לורור" את מכתבו הפתוח לנשיא הרפובליקה, "אני מאשים", שבו האשים בשמם את הקצינים שזייפו את התיק ואת בתי הדין הצבאיים, והזמין את המדינה לתבוע אותו כדי שייערך משפט פומבי. שלוש מאות אלף עותקים נמכרו בו ביום. זולא הועמד לדין על דיבה, הורשע בפברואר 1898 ונמלט לאנגליה. המכתב פיצל את צרפת לשני מחנות, "דרייפוסארים" ו"אנטי־דרייפוסארים", והמאבק על דרייפוס הפך למאבק על דמות הרפובליקה: זכויות הפרט ושלטון החוק מול כבוד הצבא והאומה. בינואר ובפברואר 1898 פרצו מהומות אנטי־יהודיות בכחמישים וחמש ערים בצרפת, ובאלג'יר נרצחו יהודים. באוגוסט 1898 הודה הקולונל אנרי שזייף את המסמך המרכזי בתיק, ולמחרת שם קץ לחייו .</w:t>
      </w:r>
      <w:r>
        <w:rPr>
          <w:rStyle w:val="FootnoteReference"/>
        </w:rPr>
        <w:footnoteReference w:id="57"/>
      </w:r>
    </w:p>
    <w:p>
      <w:pPr>
        <w:bidi/>
        <w:spacing w:after="120" w:line="360" w:lineRule="auto"/>
        <w:jc w:val="right"/>
      </w:pPr>
      <w:r>
        <w:rPr>
          <w:rFonts w:ascii="David" w:cs="David" w:eastAsia="David" w:hAnsi="David"/>
          <w:sz w:val="24"/>
          <w:szCs w:val="24"/>
          <w:rtl/>
        </w:rPr>
        <w:t xml:space="preserve">ביוני 1899 ביטל בית המשפט העליון את פסק הדין והורה על משפט חוזר. בית הדין הצבאי ברן הרשיע את דרייפוס שוב, "בנסיבות מקלות", ונשיא הרפובליקה העניק לו חנינה ב-19 בספטמבר 1899. רק ביולי 1906 בוטל פסק הדין סופית ודרייפוס הוחזר לצבא. מבחינה פוליטית הסתיימה הפרשה בניצחון הרפובליקה, ששיאו בחוק הפרדת הדת מן המדינה בשנת 1905. מבחינת יהודי צרפת הייתה משמעותה כפולה: הפרשה הוכיחה שהמדינה מסוגלת בסופו של דבר להגן על אזרחיה היהודים, אך גם חשפה שגם במולדת האמנציפציה אפשר להפוך את היהודי המשולב ביותר ל"זר" בתוך ימים .</w:t>
      </w:r>
      <w:r>
        <w:rPr>
          <w:rStyle w:val="FootnoteReference"/>
        </w:rPr>
        <w:footnoteReference w:id="58"/>
      </w:r>
    </w:p>
    <w:p>
      <w:pPr>
        <w:pStyle w:val="Heading2"/>
        <w:bidi/>
        <w:spacing w:after="160" w:before="240" w:line="360"/>
        <w:jc w:val="right"/>
      </w:pPr>
      <w:r>
        <w:rPr>
          <w:rFonts w:ascii="David" w:cs="David" w:eastAsia="David" w:hAnsi="David"/>
          <w:b/>
          <w:bCs/>
          <w:sz w:val="28"/>
          <w:szCs w:val="28"/>
          <w:rtl/>
        </w:rPr>
        <w:t xml:space="preserve">2. הרצל כעד: דיווחים, יומן ו"מדינת היהודים"</w:t>
      </w:r>
    </w:p>
    <w:p>
      <w:pPr>
        <w:bidi/>
        <w:spacing w:after="120" w:line="360" w:lineRule="auto"/>
        <w:jc w:val="right"/>
      </w:pPr>
      <w:r>
        <w:rPr>
          <w:rFonts w:ascii="David" w:cs="David" w:eastAsia="David" w:hAnsi="David"/>
          <w:sz w:val="24"/>
          <w:szCs w:val="24"/>
          <w:rtl/>
        </w:rPr>
        <w:t xml:space="preserve">הרצל סיקר את משפט דרייפוס בדצמבר 1894 ואת טקס הורדת הדרגות ב-5 בינואר 1895. דיווחיו הם המקור החשוב ביותר לבחינת מה ראה בזמן אמת, בניגוד למה שסיפר בדיעבד, וניתוחם המדוקדק נעשה בידי קורנברג ואבינרי. שני ממצאים עולים מהם. ראשית, הרצל לא פקפק באשמת דרייפוס. כמו רוב הצרפתים קיבל את פסק הדין, ובדיווחיו ניסה להסביר את הפסיכולוגיה של הבוגד; אפשרות החפות החלה להעסיקו רק בשנים 1896-1897. שנית, בדיווחו על הטקס תיאר את ההמון הצועק "מוות לבוגד" ואת דרייפוס הזועק שהוא חף מפשע, אך לא הזכיר קריאות "מוות ליהודים". התיאור המפורסם של ההמון הפריזאי הצועק "מוות ליהודים" מופיע לראשונה במאמרו משנת 1899. גדעון קוץ, שבחן את הדיווחים במסגרת מחקרו על סיקור הפרשה בעיתונות היהודית, הגיע לאותה מסקנה: דיווחי הרצל לא נקטו עמדה בשאלת חפותו של הנאשם, הזכירו את יהדותו פעם אחת בלבד ונמנעו מלתאר תגובות אנטישמיות, גם בטקס שלילת הדרגה .</w:t>
      </w:r>
      <w:r>
        <w:rPr>
          <w:rStyle w:val="FootnoteReference"/>
        </w:rPr>
        <w:footnoteReference w:id="59"/>
      </w:r>
    </w:p>
    <w:p>
      <w:pPr>
        <w:bidi/>
        <w:spacing w:after="120" w:line="360" w:lineRule="auto"/>
        <w:jc w:val="right"/>
      </w:pPr>
      <w:r>
        <w:rPr>
          <w:rFonts w:ascii="David" w:cs="David" w:eastAsia="David" w:hAnsi="David"/>
          <w:sz w:val="24"/>
          <w:szCs w:val="24"/>
          <w:rtl/>
        </w:rPr>
        <w:t xml:space="preserve">אין פירוש הדבר שהטקס לא הרשים את הרצל. תיאורו את ההשפלה הפומבית של קצין, את שבירת החרב ואת המולת ההמון הוא תיאור של אדם נסער. אך הרושם היה, בשלב זה, רושם של עיתונאי המדווח על דרמה צבאית־משפטית בארץ זרה. חמישה חודשים לאחר מכן, כשפתח את יומנו ומנה את הגורמים שהביאוהו לרעיון, לא כלל בהם את הפרשה, וגם בפגישתו עם הירש וב"נאום לרוטשילדים" לא הזכיר אותה .</w:t>
      </w:r>
      <w:r>
        <w:rPr>
          <w:rStyle w:val="FootnoteReference"/>
        </w:rPr>
        <w:footnoteReference w:id="60"/>
      </w:r>
    </w:p>
    <w:p>
      <w:pPr>
        <w:bidi/>
        <w:spacing w:after="120" w:line="360" w:lineRule="auto"/>
        <w:jc w:val="right"/>
      </w:pPr>
      <w:r>
        <w:rPr>
          <w:rFonts w:ascii="David" w:cs="David" w:eastAsia="David" w:hAnsi="David"/>
          <w:sz w:val="24"/>
          <w:szCs w:val="24"/>
          <w:rtl/>
        </w:rPr>
        <w:t xml:space="preserve">"מדינת היהודים" ראתה אור ב-14 בפברואר 1896. הטיעון בנוי בהיגיון הדוק: השאלה היהודית קיימת בכל מקום שבו חיים יהודים במספר ניכר, והיא שאלה לאומית; האמנציפציה באה מאוחר מדי, אינה ניתנת לביטול משפטי אך גם אינה ניתנת למימוש חברתי, מפני שהעמים אינם מאפשרים ליהודים להיטמע; האנטישמיות המודרנית היא תוצאה של האמנציפציה ולא של היעדרה, והיא גוברת עם התחרות הכלכלית; מכאן שהיהודים הם עם, ועם זקוק לטריטוריה ולריבונות. צרפת נזכרת בחוברת פעמים אחדות כדוגמה לארץ שבה קיימת אנטישמיות אף שהאמנציפציה בה מלאה, אך דרייפוס אינו נזכר בה ולו פעם אחת. בפברואר 1896 היה המקרה סגור ונשכח, ומחבר החוברת, שעדיין האמין באשמת דרייפוס, לא ראה בו הוכחה לטענתו. ההוכחה שהביא הייתה הניתוח הסוציולוגי של האנטישמיות כתופעה הנלווית לאמנציפציה, ניתוח שדוד ויטל ראה בו את תרומתו החשובה ביותר למחשבה הציונית .</w:t>
      </w:r>
      <w:r>
        <w:rPr>
          <w:rStyle w:val="FootnoteReference"/>
        </w:rPr>
        <w:footnoteReference w:id="61"/>
      </w:r>
    </w:p>
    <w:p>
      <w:pPr>
        <w:pStyle w:val="Heading2"/>
        <w:bidi/>
        <w:spacing w:after="160" w:before="240" w:line="360"/>
        <w:jc w:val="right"/>
      </w:pPr>
      <w:r>
        <w:rPr>
          <w:rFonts w:ascii="David" w:cs="David" w:eastAsia="David" w:hAnsi="David"/>
          <w:b/>
          <w:bCs/>
          <w:sz w:val="28"/>
          <w:szCs w:val="28"/>
          <w:rtl/>
        </w:rPr>
        <w:t xml:space="preserve">3. הפרשה חוזרת: 1897-1899 ומאמר "ציונות"</w:t>
      </w:r>
    </w:p>
    <w:p>
      <w:pPr>
        <w:bidi/>
        <w:spacing w:after="120" w:line="360" w:lineRule="auto"/>
        <w:jc w:val="right"/>
      </w:pPr>
      <w:r>
        <w:rPr>
          <w:rFonts w:ascii="David" w:cs="David" w:eastAsia="David" w:hAnsi="David"/>
          <w:sz w:val="24"/>
          <w:szCs w:val="24"/>
          <w:rtl/>
        </w:rPr>
        <w:t xml:space="preserve">יחסו של הרצל לפרשה השתנה עם התלקחותה מחדש בשלהי 1897. הרצל עמד אז בראש תנועה, הקונגרס הציוני הראשון התכנס בבזל באוגוסט 1897, וערך את השבועון "די ולט". הוא עקב אחר גילויי אסטרהזי, אחר "אני מאשים" ואחר מהומות 1898, והפרשה נעשתה נושא קבוע במאמריו ובנאומיו. עתה החלה למלא בהגותו את התפקיד שייחסו לה הביוגרפים: הוכחה לכך שגם במולדת זכויות האדם, מאה שנה אחרי המהפכה, אין היהודי בטוח. באותה עת התקרב לתנועה ברנאר לאזאר, שנבחר לוועד הפועל הציוני בקונגרס השני (1898) ופרש כעבור פחות משנה בשל מחלוקת על סגנון המנהיגות של הרצל. לנג ציין שבקרב יהודי צרפת, שהגיבו על הפרשה "בדיסקרטיות רבה", נתקבלו מאמריו של הרצל על הפרשה בהסתייגות כבלתי מתאימים, בעוד דבריהם של לאזאר ושל ההיסטוריון יוסף ריינך נחשבו ראויים .</w:t>
      </w:r>
      <w:r>
        <w:rPr>
          <w:rStyle w:val="FootnoteReference"/>
        </w:rPr>
        <w:footnoteReference w:id="62"/>
      </w:r>
    </w:p>
    <w:p>
      <w:pPr>
        <w:bidi/>
        <w:spacing w:after="120" w:line="360" w:lineRule="auto"/>
        <w:jc w:val="right"/>
      </w:pPr>
      <w:r>
        <w:rPr>
          <w:rFonts w:ascii="David" w:cs="David" w:eastAsia="David" w:hAnsi="David"/>
          <w:sz w:val="24"/>
          <w:szCs w:val="24"/>
          <w:rtl/>
        </w:rPr>
        <w:t xml:space="preserve">עד ינואר 1898 היה "מקרה דרייפוס" עניין צרפתי בעיקרו. קוץ הראה שהעיתונות היהודית בצרפת טיפלה בראשית הפרשה בזהירות, מתוך הנחה שהפרשה גרמה להתפרצות האנטישמית ולא שהאנטישמיות הביאה לעלילה, ושבעיתונות העברית באירופה נחלקו העמדות לפי קו אידאולוגי: העיתונים הציוניים, "המליץ" ו"המגיד", ראו בדרייפוס קורבן לעלילה אנטישמית, ואילו "הצפירה" של נחום סוקולוב, שהאמין בעתיד היהודים כאזרחים שווים, נטה לקבל את הרשעתו. גם בארץ ישראל, כפי שהראה יוסף לנג, פירשה עיתונותו של אליעזר בן־יהודה את הפרשה בכלים לאומיים, ואברהם לודוויפול כתב ב"הצבי" שהתקרבותם של לאזאר ונורדאו לרעיון הלאומי נבעה מ"מדינת היהודים" של הרצל .</w:t>
      </w:r>
      <w:r>
        <w:rPr>
          <w:rStyle w:val="FootnoteReference"/>
        </w:rPr>
        <w:footnoteReference w:id="63"/>
      </w:r>
      <w:r>
        <w:rPr>
          <w:rFonts w:ascii="David" w:cs="David" w:eastAsia="David" w:hAnsi="David"/>
          <w:sz w:val="24"/>
          <w:szCs w:val="24"/>
          <w:rtl/>
        </w:rPr>
        <w:t xml:space="preserve"> רק עם משפט זולא והמהומות נעשתה הפרשה לנושא הראשון במעלה בעיתונות האירופית והאמריקנית, והתמונה של "צרפת האנטישמית" התקבעה. הדיה הגיעו הרחק מעבר לצרפת ולעולם היהודי. אגניישקה פרידריך הראתה שהשבועון האנטישמי הוורשאי "רולה", שדיווח על המעצר כבר בנובמבר 1894 והפנה את תשומת הלב למוצאו היהודי של החשוד, השתמש בפרשה כהוכחה לבגידת היהודים והחזיק באשמתו של דרייפוס גם לאחר זיכויו הסופי, בעוד השבועון היהודי "איזראליטה" היה משוכנע בחפותו מן הרגע הראשון .</w:t>
      </w:r>
      <w:r>
        <w:rPr>
          <w:rStyle w:val="FootnoteReference"/>
        </w:rPr>
        <w:footnoteReference w:id="64"/>
      </w:r>
      <w:r>
        <w:rPr>
          <w:rFonts w:ascii="David" w:cs="David" w:eastAsia="David" w:hAnsi="David"/>
          <w:sz w:val="24"/>
          <w:szCs w:val="24"/>
          <w:rtl/>
        </w:rPr>
        <w:t xml:space="preserve"> שאול סחייק מצא שגם העיתונות הערבית במצרים ובסוריה עקבה אחר הפרשה: רוב העיתונים החזיקו תחילה באשמת דרייפוס, אך עם התפתחות הפרשה מתחו ביקורת חריפה על ראשי השלטון והצבא בצרפת והביעו שאט נפש מגילויי השנאה נגד היהודים .</w:t>
      </w:r>
      <w:r>
        <w:rPr>
          <w:rStyle w:val="FootnoteReference"/>
        </w:rPr>
        <w:footnoteReference w:id="65"/>
      </w:r>
      <w:r>
        <w:rPr>
          <w:rFonts w:ascii="David" w:cs="David" w:eastAsia="David" w:hAnsi="David"/>
          <w:sz w:val="24"/>
          <w:szCs w:val="24"/>
          <w:rtl/>
        </w:rPr>
        <w:t xml:space="preserve"> עובדה כרונולוגית זו חיונית: כשכתב הרצל את "מדינת היהודים" וכשכינס את הקונגרס הראשון, טרם הפכה הפרשה למה שאנו מכירים היום. היא הפכה לכזו רק כשהוא כבר עמד בראש תנועה שחיפשה הוכחות לצדקת דרכה .</w:t>
      </w:r>
      <w:r>
        <w:rPr>
          <w:rStyle w:val="FootnoteReference"/>
        </w:rPr>
        <w:footnoteReference w:id="66"/>
      </w:r>
    </w:p>
    <w:p>
      <w:pPr>
        <w:bidi/>
        <w:spacing w:after="120" w:line="360" w:lineRule="auto"/>
        <w:jc w:val="right"/>
      </w:pPr>
      <w:r>
        <w:rPr>
          <w:rFonts w:ascii="David" w:cs="David" w:eastAsia="David" w:hAnsi="David"/>
          <w:sz w:val="24"/>
          <w:szCs w:val="24"/>
          <w:rtl/>
        </w:rPr>
        <w:t xml:space="preserve">השיא של התהליך הוא המאמר "ציונות", שפרסם הרצל ביולי 1899 ב"נורת' אמריקן ריוויו", חודשיים לפני משפט רן, כשהפרשה עמדה בשיא תשומת הלב העולמית. במאמר, שנועד לקהל אמריקני שאהדתו לדרייפוס הייתה מלאה, כתב הרצל שמשפט דרייפוס, שבו נכח בשנת 1894, הוא שעשה אותו לציוני; שדרייפוס הורשע משום שהיה יהודי; ושההמון צעק "מוות ליהודים". אם עם כה מתקדם כעם הצרפתי מסוגל לכך, שאל, מה יכולים היהודים לצפות מעמים אחרים? ניסוח זה, שחזר עליו הרצל עד מותו, הוא מקור המיתוס. הוא נכתב בידי מנהיג פוליטי המבקש לתת לתנועתו סיפור מוצא משכנע, בשעה שהפרשה סיפקה לו את הסיפור הטוב ביותר האפשרי: לא פוליטיקה עירונית וינאית שהעולם לא הכיר, אלא דרמה עולמית שבה כל קורא נאור עמד לצד היהודי .</w:t>
      </w:r>
      <w:r>
        <w:rPr>
          <w:rStyle w:val="FootnoteReference"/>
        </w:rPr>
        <w:footnoteReference w:id="67"/>
      </w:r>
    </w:p>
    <w:p>
      <w:pPr>
        <w:pStyle w:val="Heading2"/>
        <w:bidi/>
        <w:spacing w:after="160" w:before="240" w:line="360"/>
        <w:jc w:val="right"/>
      </w:pPr>
      <w:r>
        <w:rPr>
          <w:rFonts w:ascii="David" w:cs="David" w:eastAsia="David" w:hAnsi="David"/>
          <w:b/>
          <w:bCs/>
          <w:sz w:val="28"/>
          <w:szCs w:val="28"/>
          <w:rtl/>
        </w:rPr>
        <w:t xml:space="preserve">4. הוויכוח ההיסטוריוגרפי</w:t>
      </w:r>
    </w:p>
    <w:p>
      <w:pPr>
        <w:bidi/>
        <w:spacing w:after="120" w:line="360" w:lineRule="auto"/>
        <w:jc w:val="right"/>
      </w:pPr>
      <w:r>
        <w:rPr>
          <w:rFonts w:ascii="David" w:cs="David" w:eastAsia="David" w:hAnsi="David"/>
          <w:sz w:val="24"/>
          <w:szCs w:val="24"/>
          <w:rtl/>
        </w:rPr>
        <w:t xml:space="preserve">הביוגרפיה של אלכס ביין, שפורסמה בשנת 1934, קיבעה את הגרסה שבה הפרשה עומדת במרכז. ביין הכיר את התחנות המוקדמות ותיאר אותן, אך המבנה של ספרו העמיד את הטקס של ינואר 1895 כרגע ההכרעה, ואת עדות הרצל משנת 1899 כמהימנה. מאחר שספרו היה עשרות שנים המקור הביוגרפי המוסמך, הפך תיאורו לגרסה הקנונית. עמוס אלון, בביוגרפיה משנת 1975, כתב את סצנת הורדת הדרגות בכישרון ספרותי, שילב בה את קריאות "מוות ליהודים" כעובדה, והציג את הפרשה כזרז שהפך את המשבר האישי של הרצל לרעיון. דזמונד סטיוארט אימץ תמונה דומה .</w:t>
      </w:r>
      <w:r>
        <w:rPr>
          <w:rStyle w:val="FootnoteReference"/>
        </w:rPr>
        <w:footnoteReference w:id="68"/>
      </w:r>
    </w:p>
    <w:p>
      <w:pPr>
        <w:bidi/>
        <w:spacing w:after="120" w:line="360" w:lineRule="auto"/>
        <w:jc w:val="right"/>
      </w:pPr>
      <w:r>
        <w:rPr>
          <w:rFonts w:ascii="David" w:cs="David" w:eastAsia="David" w:hAnsi="David"/>
          <w:sz w:val="24"/>
          <w:szCs w:val="24"/>
          <w:rtl/>
        </w:rPr>
        <w:t xml:space="preserve">הביקורת של קורנברג ואבינרי, שהוצגה בפרק השני, ערערה על גרסה זו על יסוד שלוש ראיות: הדיווחים, שתיקת היומן ו"הגטו החדש". ההבדל בין המסורת הביוגרפית לבין הביקורת אינו בעובדות אלא במשקל: המסורת ראתה בתחנות המוקדמות הכנה ובפרשה הכרעה, והביקורת הפכה את היוצרות. גם הביוגרפיה של פנסלר משנת 2020, המבקשת לשקם חלק מן התיאור הישן, מקבלת את העובדות. פנסלר הציע תיקון פרשני: השאלה "מה גרם להרצל להפוך לציוני" מניחה מודל של סיבה ותוצאה שאינו הולם מהפכים אינטלקטואליים. הפרשה, כמו ניצחון לואגר, כמו דרימון, הייתה חלק מהצטברות, ואין טעם לבודד גורם אחד. מה שהיה ייחודי בה אינו תוכנה אלא הצורה: הרצל ראה במו עיניו טקס השפלה פומבי של יהודי, לקול המולת המון, חוויה חושית ורגשית מן הסוג שהשל ביקשה להחזיר אל חקר האנטישמיות. חוויה זו לא הולידה את הרעיון, אך סיפקה לו בדיעבד את הדימוי המרכזי .</w:t>
      </w:r>
      <w:r>
        <w:rPr>
          <w:rStyle w:val="FootnoteReference"/>
        </w:rPr>
        <w:footnoteReference w:id="69"/>
      </w:r>
    </w:p>
    <w:p>
      <w:pPr>
        <w:pStyle w:val="Heading2"/>
        <w:bidi/>
        <w:spacing w:after="160" w:before="240" w:line="360"/>
        <w:jc w:val="right"/>
      </w:pPr>
      <w:r>
        <w:rPr>
          <w:rFonts w:ascii="David" w:cs="David" w:eastAsia="David" w:hAnsi="David"/>
          <w:b/>
          <w:bCs/>
          <w:sz w:val="28"/>
          <w:szCs w:val="28"/>
          <w:rtl/>
        </w:rPr>
        <w:t xml:space="preserve">5. הערכה: שני שלבים</w:t>
      </w:r>
    </w:p>
    <w:p>
      <w:pPr>
        <w:bidi/>
        <w:spacing w:after="120" w:line="360" w:lineRule="auto"/>
        <w:jc w:val="right"/>
      </w:pPr>
      <w:r>
        <w:rPr>
          <w:rFonts w:ascii="David" w:cs="David" w:eastAsia="David" w:hAnsi="David"/>
          <w:sz w:val="24"/>
          <w:szCs w:val="24"/>
          <w:rtl/>
        </w:rPr>
        <w:t xml:space="preserve">מן הניתוח עולה תמונה של שני שלבים. בשלב לידת הרעיון, מסתיו 1894 ועד פברואר 1896, מילאה הפרשה תפקיד שולי: היא הייתה אחד מן הרשמים שקלט הרצל בפריז, אך לא הופיעה במניין הגורמים שערך, ולא בטיעון שניסח. בשלב ההפצה והמיסוד, מסוף 1897 ואילך, נעשתה מרכזית, כראיה, כסמל וכסיפור מוצא .</w:t>
      </w:r>
      <w:r>
        <w:rPr>
          <w:rStyle w:val="FootnoteReference"/>
        </w:rPr>
        <w:footnoteReference w:id="70"/>
      </w:r>
    </w:p>
    <w:p>
      <w:pPr>
        <w:bidi/>
        <w:spacing w:after="120" w:line="360" w:lineRule="auto"/>
        <w:jc w:val="right"/>
      </w:pPr>
      <w:r>
        <w:rPr>
          <w:rFonts w:ascii="David" w:cs="David" w:eastAsia="David" w:hAnsi="David"/>
          <w:sz w:val="24"/>
          <w:szCs w:val="24"/>
          <w:rtl/>
        </w:rPr>
        <w:t xml:space="preserve">להבחנה זו יש תוספת שהוויכוח הביוגרפי נוטה להזניח: ההבדל בין השפעת הפרשה על הרצל לבין השפעתה על התנועה הציונית. גם אם לא הפרשה עשתה את הרצל לציוני, היא תרמה להצלחת הציונות בשנים 1898-1904. היא סיפקה לתנועה את הטיעון הנוח ביותר במשא ומתן עם יהודי המערב ועם מדינאי אירופה; היא הביאה אליה אינטלקטואלים כלאזאר וכמקס נורדאו, שחוו את הפרשה בפריז מקרוב; והיא העניקה למנהיגה סיפור מוצא שהפך אותו מפיליטוניסט וינאי לנביא שראה בפריז את הכתובת על הקיר. המיתוס שיצר הרצל היה עצמו גורם היסטורי, ואת פועלו אין לבטל בביטול אמיתותו .</w:t>
      </w:r>
      <w:r>
        <w:rPr>
          <w:rStyle w:val="FootnoteReference"/>
        </w:rPr>
        <w:footnoteReference w:id="71"/>
      </w:r>
    </w:p>
    <w:p>
      <w:pPr>
        <w:pStyle w:val="Heading1"/>
        <w:pageBreakBefore/>
        <w:bidi/>
        <w:spacing w:after="160" w:before="360" w:line="360"/>
        <w:jc w:val="right"/>
      </w:pPr>
      <w:r>
        <w:rPr>
          <w:rFonts w:ascii="David" w:cs="David" w:eastAsia="David" w:hAnsi="David"/>
          <w:b/>
          <w:bCs/>
          <w:sz w:val="32"/>
          <w:szCs w:val="32"/>
          <w:rtl/>
        </w:rPr>
        <w:t xml:space="preserve">סיכום</w:t>
      </w:r>
    </w:p>
    <w:p>
      <w:pPr>
        <w:bidi/>
        <w:spacing w:after="120" w:line="360" w:lineRule="auto"/>
        <w:jc w:val="right"/>
      </w:pPr>
      <w:r>
        <w:rPr>
          <w:rFonts w:ascii="David" w:cs="David" w:eastAsia="David" w:hAnsi="David"/>
          <w:sz w:val="24"/>
          <w:szCs w:val="24"/>
          <w:rtl/>
        </w:rPr>
        <w:t xml:space="preserve">עבודה זו יצאה מן השאלה באיזו מידה הייתה פרשת דרייפוס גורם מכריע במעבר של הרצל מתמיכה בהתבוללות לגיבוש הרעיון הציוני המדיני, ומה היו הגורמים הנוספים שהשפיעו על מהפך זה. התשובה שהתגבשה נשענת על הבחנה בין שני שלבים.</w:t>
      </w:r>
    </w:p>
    <w:p>
      <w:pPr>
        <w:bidi/>
        <w:spacing w:after="120" w:line="360" w:lineRule="auto"/>
        <w:jc w:val="right"/>
      </w:pPr>
      <w:r>
        <w:rPr>
          <w:rFonts w:ascii="David" w:cs="David" w:eastAsia="David" w:hAnsi="David"/>
          <w:sz w:val="24"/>
          <w:szCs w:val="24"/>
          <w:rtl/>
        </w:rPr>
        <w:t xml:space="preserve">בשלב לידת הרעיון, מסתיו 1894 ועד פברואר 1896, לא הייתה הפרשה גורם מכריע. הרצל קיבל בזמן אמת את אשמת דרייפוס; דיווחיו מטקס הורדת הדרגות אינם מזכירים קריאות אנטישמיות; היומן שפתח ביוני 1895, שבו מנה את תחנות דרכו, אינו מזכיר את הפרשה; ו"מדינת היהודים" אינו מזכיר את דרייפוס. במקום הפרשה עלתה מן המקורות שרשרת של גורמים אחרים, שנדונו בפרק השני: ההיכרות הממושכת עם האנטישמיות הווינאית מאז 1882; לקחי פריז בדבר הפוליטיקה ההמונית ותפישת האנטישמיות כעובדה אובייקטיבית שלמד מדרימון; המשבר האישי שהוביל אל "הגטו החדש"; ועליית לואגר לשלטון בווינה באביב 1895, בדיוק בחודשים שבהם נולד הרעיון. הרקע שהוצג בפרק הראשון מסביר מדוע היה הרצל רגיש יותר לחדשות מווינה מאשר לדרמה בפריז: באוסטריה, ורק בה, כבשה מפלגה אנטישמית את השלטון בעיר הבירה, ואילו האנטישמיות הצרפתית, על כל עוצמתה הרטורית, נותרה תופעה של אופוזיציה.</w:t>
      </w:r>
    </w:p>
    <w:p>
      <w:pPr>
        <w:bidi/>
        <w:spacing w:after="120" w:line="360" w:lineRule="auto"/>
        <w:jc w:val="right"/>
      </w:pPr>
      <w:r>
        <w:rPr>
          <w:rFonts w:ascii="David" w:cs="David" w:eastAsia="David" w:hAnsi="David"/>
          <w:sz w:val="24"/>
          <w:szCs w:val="24"/>
          <w:rtl/>
        </w:rPr>
        <w:t xml:space="preserve">בשלב ההפצה והמיסוד, משלהי 1897 ועד מותו של הרצל בשנת 1904, נעשתה הפרשה מרכזית. משהתלקחה מחדש בעקבות "אני מאשים" ומהומות 1898 ראה בה הרצל את ההוכחה לטענתו שגם במולדת זכויות האדם אין היהודי בטוח, וכתב במאמרו משנת 1899 שמשפט דרייפוס עשה אותו לציוני. המיתוס לא היה אמת ביוגרפית, אך הוא היה עובדה היסטורית: הוא סיפק לתנועה סיפור מוצא אוניברסלי וקירב אליה אינטלקטואלים כברנאר לאזאר.</w:t>
      </w:r>
    </w:p>
    <w:p>
      <w:pPr>
        <w:bidi/>
        <w:spacing w:after="120" w:line="360" w:lineRule="auto"/>
        <w:jc w:val="right"/>
      </w:pPr>
      <w:r>
        <w:rPr>
          <w:rFonts w:ascii="David" w:cs="David" w:eastAsia="David" w:hAnsi="David"/>
          <w:sz w:val="24"/>
          <w:szCs w:val="24"/>
          <w:rtl/>
        </w:rPr>
        <w:t xml:space="preserve">מסקנה זו מתיישבת עם הוויכוח ההיסטוריוגרפי שהוצג בפרק הראשון. גישתו של אנגל, הקוראת להסביר כל תופעה בהקשרה הקונקרטי, הוכיחה את ערכה: רק בחינה של מה שראה הרצל, מה שכתב ומתי כתב מאפשרת להבחין בין הפרשה כגורם לבין הפרשה כסיפור. אך גם הסתייגותה של השל נמצאה מועילה, שכן החוויה החושית של טקס ההשפלה, גם אם לא הולידה את הרעיון, סיפקה לו את הדימוי שבאמצעותו נחרת בזיכרון.</w:t>
      </w:r>
    </w:p>
    <w:p>
      <w:pPr>
        <w:bidi/>
        <w:spacing w:after="120" w:line="360" w:lineRule="auto"/>
        <w:jc w:val="right"/>
      </w:pPr>
      <w:r>
        <w:rPr>
          <w:rFonts w:ascii="David" w:cs="David" w:eastAsia="David" w:hAnsi="David"/>
          <w:sz w:val="24"/>
          <w:szCs w:val="24"/>
          <w:rtl/>
        </w:rPr>
        <w:t xml:space="preserve">מן העבודה עולות שתי המלצות למחקר המשך. הראשונה היא בחינה שיטתית של כלל דיווחיו של הרצל ב"נויה פרייה פרסה" בשנים 1891-1895, שרק חלקם כונסו, כדי לדייק את תמונת השפעת פריז עליו. השנייה היא השוואה בין הדרך שבה עיבדו יהודי צרפת את הפרשה, ובהם לאזאר, נורדאו ואנדרה ספיר, שאצלם הייתה הפרשה אכן נקודת המפנה, לבין הדרך שבה עיבד אותה איש וינה. השוואה כזאת תשאל לא רק מה עשתה הפרשה להרצל, אלא מה עשה הרצל לפרשה.</w:t>
      </w:r>
    </w:p>
    <w:p>
      <w:pPr>
        <w:pStyle w:val="Heading1"/>
        <w:pageBreakBefore/>
        <w:bidi/>
        <w:spacing w:after="160" w:before="360" w:line="360"/>
        <w:jc w:val="right"/>
      </w:pPr>
      <w:r>
        <w:rPr>
          <w:rFonts w:ascii="David" w:cs="David" w:eastAsia="David" w:hAnsi="David"/>
          <w:b/>
          <w:bCs/>
          <w:sz w:val="32"/>
          <w:szCs w:val="32"/>
          <w:rtl/>
        </w:rPr>
        <w:t xml:space="preserve">רשימת מקורות</w:t>
      </w:r>
    </w:p>
    <w:p>
      <w:pPr>
        <w:bidi/>
        <w:spacing w:after="240" w:line="240" w:lineRule="auto"/>
        <w:ind w:left="720" w:hanging="720"/>
        <w:jc w:val="right"/>
      </w:pPr>
      <w:r>
        <w:rPr>
          <w:rFonts w:ascii="David" w:cs="David" w:eastAsia="David" w:hAnsi="David"/>
          <w:sz w:val="24"/>
          <w:szCs w:val="24"/>
          <w:rtl/>
        </w:rPr>
        <w:t xml:space="preserve">אבינרי, ש' (1980). </w:t>
      </w:r>
      <w:r>
        <w:rPr>
          <w:rFonts w:ascii="David" w:cs="David" w:eastAsia="David" w:hAnsi="David"/>
          <w:b/>
          <w:bCs/>
          <w:i w:val="false"/>
          <w:iCs w:val="false"/>
          <w:sz w:val="24"/>
          <w:szCs w:val="24"/>
          <w:rtl/>
        </w:rPr>
        <w:t xml:space="preserve">הרעיון הציוני לגווניו: פרקים בתולדות המחשבה המדינית היהודית</w:t>
      </w:r>
      <w:r>
        <w:rPr>
          <w:rFonts w:ascii="David" w:cs="David" w:eastAsia="David" w:hAnsi="David"/>
          <w:sz w:val="24"/>
          <w:szCs w:val="24"/>
          <w:rtl/>
        </w:rPr>
        <w:t xml:space="preserve">. תל אביב: עם עובד.</w:t>
      </w:r>
    </w:p>
    <w:p>
      <w:pPr>
        <w:bidi/>
        <w:spacing w:after="240" w:line="240" w:lineRule="auto"/>
        <w:ind w:left="720" w:hanging="720"/>
        <w:jc w:val="right"/>
      </w:pPr>
      <w:r>
        <w:rPr>
          <w:rFonts w:ascii="David" w:cs="David" w:eastAsia="David" w:hAnsi="David"/>
          <w:sz w:val="24"/>
          <w:szCs w:val="24"/>
          <w:rtl/>
        </w:rPr>
        <w:t xml:space="preserve">אבינרי, ש' (2007). </w:t>
      </w:r>
      <w:r>
        <w:rPr>
          <w:rFonts w:ascii="David" w:cs="David" w:eastAsia="David" w:hAnsi="David"/>
          <w:b/>
          <w:bCs/>
          <w:i w:val="false"/>
          <w:iCs w:val="false"/>
          <w:sz w:val="24"/>
          <w:szCs w:val="24"/>
          <w:rtl/>
        </w:rPr>
        <w:t xml:space="preserve">הרצל</w:t>
      </w:r>
      <w:r>
        <w:rPr>
          <w:rFonts w:ascii="David" w:cs="David" w:eastAsia="David" w:hAnsi="David"/>
          <w:sz w:val="24"/>
          <w:szCs w:val="24"/>
          <w:rtl/>
        </w:rPr>
        <w:t xml:space="preserve">. ירושלים: מרכז זלמן שזר.</w:t>
      </w:r>
    </w:p>
    <w:p>
      <w:pPr>
        <w:bidi/>
        <w:spacing w:after="240" w:line="240" w:lineRule="auto"/>
        <w:ind w:left="720" w:hanging="720"/>
        <w:jc w:val="right"/>
      </w:pPr>
      <w:r>
        <w:rPr>
          <w:rFonts w:ascii="David" w:cs="David" w:eastAsia="David" w:hAnsi="David"/>
          <w:sz w:val="24"/>
          <w:szCs w:val="24"/>
          <w:rtl/>
        </w:rPr>
        <w:t xml:space="preserve">אנגל, ד' (תש"ף). גלגולי המושג "אנטישמיות" והשימוש בו כקטגוריה כוללת. בתוך ג' מירון וס' אורי (עורכים), אנטישמיות בין מושג היסטורי לשיח ציבורי, </w:t>
      </w:r>
      <w:r>
        <w:rPr>
          <w:rFonts w:ascii="David" w:cs="David" w:eastAsia="David" w:hAnsi="David"/>
          <w:b/>
          <w:bCs/>
          <w:i w:val="false"/>
          <w:iCs w:val="false"/>
          <w:sz w:val="24"/>
          <w:szCs w:val="24"/>
          <w:rtl/>
        </w:rPr>
        <w:t xml:space="preserve">ציון</w:t>
      </w:r>
      <w:r>
        <w:rPr>
          <w:rFonts w:ascii="David" w:cs="David" w:eastAsia="David" w:hAnsi="David"/>
          <w:sz w:val="24"/>
          <w:szCs w:val="24"/>
          <w:rtl/>
        </w:rPr>
        <w:t xml:space="preserve">, פה, 13-55.</w:t>
      </w:r>
    </w:p>
    <w:p>
      <w:pPr>
        <w:bidi/>
        <w:spacing w:after="240" w:line="240" w:lineRule="auto"/>
        <w:ind w:left="720" w:hanging="720"/>
        <w:jc w:val="right"/>
      </w:pPr>
      <w:r>
        <w:rPr>
          <w:rFonts w:ascii="David" w:cs="David" w:eastAsia="David" w:hAnsi="David"/>
          <w:sz w:val="24"/>
          <w:szCs w:val="24"/>
          <w:rtl/>
        </w:rPr>
        <w:t xml:space="preserve">אטינגר, ש' (1978). </w:t>
      </w:r>
      <w:r>
        <w:rPr>
          <w:rFonts w:ascii="David" w:cs="David" w:eastAsia="David" w:hAnsi="David"/>
          <w:b/>
          <w:bCs/>
          <w:i w:val="false"/>
          <w:iCs w:val="false"/>
          <w:sz w:val="24"/>
          <w:szCs w:val="24"/>
          <w:rtl/>
        </w:rPr>
        <w:t xml:space="preserve">האנטישמיות בעת החדשה: פרקי מחקר ועיון</w:t>
      </w:r>
      <w:r>
        <w:rPr>
          <w:rFonts w:ascii="David" w:cs="David" w:eastAsia="David" w:hAnsi="David"/>
          <w:sz w:val="24"/>
          <w:szCs w:val="24"/>
          <w:rtl/>
        </w:rPr>
        <w:t xml:space="preserve">. תל אביב: מורשת וספרית פועלים.</w:t>
      </w:r>
    </w:p>
    <w:p>
      <w:pPr>
        <w:bidi/>
        <w:spacing w:after="240" w:line="240" w:lineRule="auto"/>
        <w:ind w:left="720" w:hanging="720"/>
        <w:jc w:val="right"/>
      </w:pPr>
      <w:r>
        <w:rPr>
          <w:rFonts w:ascii="David" w:cs="David" w:eastAsia="David" w:hAnsi="David"/>
          <w:sz w:val="24"/>
          <w:szCs w:val="24"/>
          <w:rtl/>
        </w:rPr>
        <w:t xml:space="preserve">ברזלי, צ' (תש"ף). המושג 'אנטישמיות' כקטגוריה לחקר ההיסטוריה של היהודים בימי הביניים. בתוך ג' מירון וס' אורי (עורכים), אנטישמיות בין מושג היסטורי לשיח ציבורי, </w:t>
      </w:r>
      <w:r>
        <w:rPr>
          <w:rFonts w:ascii="David" w:cs="David" w:eastAsia="David" w:hAnsi="David"/>
          <w:b/>
          <w:bCs/>
          <w:i w:val="false"/>
          <w:iCs w:val="false"/>
          <w:sz w:val="24"/>
          <w:szCs w:val="24"/>
          <w:rtl/>
        </w:rPr>
        <w:t xml:space="preserve">ציון</w:t>
      </w:r>
      <w:r>
        <w:rPr>
          <w:rFonts w:ascii="David" w:cs="David" w:eastAsia="David" w:hAnsi="David"/>
          <w:sz w:val="24"/>
          <w:szCs w:val="24"/>
          <w:rtl/>
        </w:rPr>
        <w:t xml:space="preserve">, פה, 195-207.</w:t>
      </w:r>
    </w:p>
    <w:p>
      <w:pPr>
        <w:bidi/>
        <w:spacing w:after="240" w:line="240" w:lineRule="auto"/>
        <w:ind w:left="720" w:hanging="720"/>
        <w:jc w:val="right"/>
      </w:pPr>
      <w:r>
        <w:rPr>
          <w:rFonts w:ascii="David" w:cs="David" w:eastAsia="David" w:hAnsi="David"/>
          <w:sz w:val="24"/>
          <w:szCs w:val="24"/>
          <w:rtl/>
        </w:rPr>
        <w:t xml:space="preserve">דרימון, א' (1886). צרפת המיוהדת. בתוך </w:t>
      </w:r>
      <w:r>
        <w:rPr>
          <w:rFonts w:ascii="David" w:cs="David" w:eastAsia="David" w:hAnsi="David"/>
          <w:b/>
          <w:bCs/>
          <w:i w:val="false"/>
          <w:iCs w:val="false"/>
          <w:sz w:val="24"/>
          <w:szCs w:val="24"/>
          <w:rtl/>
        </w:rPr>
        <w:t xml:space="preserve">מקראת הקורס האנטישמיות במאה ה-19</w:t>
      </w:r>
      <w:r>
        <w:rPr>
          <w:rFonts w:ascii="David" w:cs="David" w:eastAsia="David" w:hAnsi="David"/>
          <w:sz w:val="24"/>
          <w:szCs w:val="24"/>
          <w:rtl/>
        </w:rPr>
        <w:t xml:space="preserve"> (עמ' 443-444). רעננה: האוניברסיטה הפתוחה.</w:t>
      </w:r>
    </w:p>
    <w:p>
      <w:pPr>
        <w:bidi/>
        <w:spacing w:after="240" w:line="240" w:lineRule="auto"/>
        <w:ind w:left="720" w:hanging="720"/>
        <w:jc w:val="right"/>
      </w:pPr>
      <w:r>
        <w:rPr>
          <w:rFonts w:ascii="David" w:cs="David" w:eastAsia="David" w:hAnsi="David"/>
          <w:sz w:val="24"/>
          <w:szCs w:val="24"/>
          <w:rtl/>
        </w:rPr>
        <w:t xml:space="preserve">הרצל, ב"ז (1997). </w:t>
      </w:r>
      <w:r>
        <w:rPr>
          <w:rFonts w:ascii="David" w:cs="David" w:eastAsia="David" w:hAnsi="David"/>
          <w:b/>
          <w:bCs/>
          <w:i w:val="false"/>
          <w:iCs w:val="false"/>
          <w:sz w:val="24"/>
          <w:szCs w:val="24"/>
          <w:rtl/>
        </w:rPr>
        <w:t xml:space="preserve">עניין היהודים: ספרי יומן 1895-1904</w:t>
      </w:r>
      <w:r>
        <w:rPr>
          <w:rFonts w:ascii="David" w:cs="David" w:eastAsia="David" w:hAnsi="David"/>
          <w:sz w:val="24"/>
          <w:szCs w:val="24"/>
          <w:rtl/>
        </w:rPr>
        <w:t xml:space="preserve"> (י' ונקרט, מתרגם), כרך א. ירושלים: מוסד ביאליק. (נכתב במקור בשנת 1895)</w:t>
      </w:r>
    </w:p>
    <w:p>
      <w:pPr>
        <w:bidi/>
        <w:spacing w:after="240" w:line="240" w:lineRule="auto"/>
        <w:ind w:left="720" w:hanging="720"/>
        <w:jc w:val="right"/>
      </w:pPr>
      <w:r>
        <w:rPr>
          <w:rFonts w:ascii="David" w:cs="David" w:eastAsia="David" w:hAnsi="David"/>
          <w:sz w:val="24"/>
          <w:szCs w:val="24"/>
          <w:rtl/>
        </w:rPr>
        <w:t xml:space="preserve">השל, ס' (תש"ף). לקראת היסטוריוגרפיה ארוטית: חקר הממדים החושיים והרגשיים של האנטישמיות. בתוך ג' מירון וס' אורי (עורכים), אנטישמיות בין מושג היסטורי לשיח ציבורי, </w:t>
      </w:r>
      <w:r>
        <w:rPr>
          <w:rFonts w:ascii="David" w:cs="David" w:eastAsia="David" w:hAnsi="David"/>
          <w:b/>
          <w:bCs/>
          <w:i w:val="false"/>
          <w:iCs w:val="false"/>
          <w:sz w:val="24"/>
          <w:szCs w:val="24"/>
          <w:rtl/>
        </w:rPr>
        <w:t xml:space="preserve">ציון</w:t>
      </w:r>
      <w:r>
        <w:rPr>
          <w:rFonts w:ascii="David" w:cs="David" w:eastAsia="David" w:hAnsi="David"/>
          <w:sz w:val="24"/>
          <w:szCs w:val="24"/>
          <w:rtl/>
        </w:rPr>
        <w:t xml:space="preserve">, פה, 5-30.</w:t>
      </w:r>
    </w:p>
    <w:p>
      <w:pPr>
        <w:bidi/>
        <w:spacing w:after="240" w:line="240" w:lineRule="auto"/>
        <w:ind w:left="720" w:hanging="720"/>
        <w:jc w:val="right"/>
      </w:pPr>
      <w:r>
        <w:rPr>
          <w:rFonts w:ascii="David" w:cs="David" w:eastAsia="David" w:hAnsi="David"/>
          <w:sz w:val="24"/>
          <w:szCs w:val="24"/>
          <w:rtl/>
        </w:rPr>
        <w:t xml:space="preserve">וולקוב, ש' (2002). </w:t>
      </w:r>
      <w:r>
        <w:rPr>
          <w:rFonts w:ascii="David" w:cs="David" w:eastAsia="David" w:hAnsi="David"/>
          <w:b/>
          <w:bCs/>
          <w:i w:val="false"/>
          <w:iCs w:val="false"/>
          <w:sz w:val="24"/>
          <w:szCs w:val="24"/>
          <w:rtl/>
        </w:rPr>
        <w:t xml:space="preserve">במעגל המכושף: יהודים, אנטישמים וגרמנים אחרים</w:t>
      </w:r>
      <w:r>
        <w:rPr>
          <w:rFonts w:ascii="David" w:cs="David" w:eastAsia="David" w:hAnsi="David"/>
          <w:sz w:val="24"/>
          <w:szCs w:val="24"/>
          <w:rtl/>
        </w:rPr>
        <w:t xml:space="preserve">. תל אביב: עם עובד.</w:t>
      </w:r>
    </w:p>
    <w:p>
      <w:pPr>
        <w:bidi/>
        <w:spacing w:after="240" w:line="240" w:lineRule="auto"/>
        <w:ind w:left="720" w:hanging="720"/>
        <w:jc w:val="right"/>
      </w:pPr>
      <w:r>
        <w:rPr>
          <w:rFonts w:ascii="David" w:cs="David" w:eastAsia="David" w:hAnsi="David"/>
          <w:sz w:val="24"/>
          <w:szCs w:val="24"/>
          <w:rtl/>
        </w:rPr>
        <w:t xml:space="preserve">ויטל, ד' (1978). </w:t>
      </w:r>
      <w:r>
        <w:rPr>
          <w:rFonts w:ascii="David" w:cs="David" w:eastAsia="David" w:hAnsi="David"/>
          <w:b/>
          <w:bCs/>
          <w:i w:val="false"/>
          <w:iCs w:val="false"/>
          <w:sz w:val="24"/>
          <w:szCs w:val="24"/>
          <w:rtl/>
        </w:rPr>
        <w:t xml:space="preserve">המהפכה הציונית: ראשית התנועה</w:t>
      </w:r>
      <w:r>
        <w:rPr>
          <w:rFonts w:ascii="David" w:cs="David" w:eastAsia="David" w:hAnsi="David"/>
          <w:sz w:val="24"/>
          <w:szCs w:val="24"/>
          <w:rtl/>
        </w:rPr>
        <w:t xml:space="preserve">. תל אביב: עם עובד.</w:t>
      </w:r>
    </w:p>
    <w:p>
      <w:pPr>
        <w:bidi/>
        <w:spacing w:after="240" w:line="240" w:lineRule="auto"/>
        <w:ind w:left="720" w:hanging="720"/>
        <w:jc w:val="right"/>
      </w:pPr>
      <w:r>
        <w:rPr>
          <w:rFonts w:ascii="David" w:cs="David" w:eastAsia="David" w:hAnsi="David"/>
          <w:sz w:val="24"/>
          <w:szCs w:val="24"/>
          <w:rtl/>
        </w:rPr>
        <w:t xml:space="preserve">כ"ץ, י' (1979). </w:t>
      </w:r>
      <w:r>
        <w:rPr>
          <w:rFonts w:ascii="David" w:cs="David" w:eastAsia="David" w:hAnsi="David"/>
          <w:b/>
          <w:bCs/>
          <w:i w:val="false"/>
          <w:iCs w:val="false"/>
          <w:sz w:val="24"/>
          <w:szCs w:val="24"/>
          <w:rtl/>
        </w:rPr>
        <w:t xml:space="preserve">שנאת ישראל: משנאת הדת לשלילת הגזע</w:t>
      </w:r>
      <w:r>
        <w:rPr>
          <w:rFonts w:ascii="David" w:cs="David" w:eastAsia="David" w:hAnsi="David"/>
          <w:sz w:val="24"/>
          <w:szCs w:val="24"/>
          <w:rtl/>
        </w:rPr>
        <w:t xml:space="preserve">. תל אביב: עם עובד.</w:t>
      </w:r>
    </w:p>
    <w:p>
      <w:pPr>
        <w:bidi/>
        <w:spacing w:after="240" w:line="240" w:lineRule="auto"/>
        <w:ind w:left="720" w:hanging="720"/>
        <w:jc w:val="right"/>
      </w:pPr>
      <w:r>
        <w:rPr>
          <w:rFonts w:ascii="David" w:cs="David" w:eastAsia="David" w:hAnsi="David"/>
          <w:sz w:val="24"/>
          <w:szCs w:val="24"/>
          <w:rtl/>
        </w:rPr>
        <w:t xml:space="preserve">מירון, ג' (2022). </w:t>
      </w:r>
      <w:r>
        <w:rPr>
          <w:rFonts w:ascii="David" w:cs="David" w:eastAsia="David" w:hAnsi="David"/>
          <w:b/>
          <w:bCs/>
          <w:i w:val="false"/>
          <w:iCs w:val="false"/>
          <w:sz w:val="24"/>
          <w:szCs w:val="24"/>
          <w:rtl/>
        </w:rPr>
        <w:t xml:space="preserve">האנטישמיות במאה ה-19: מדריך למידה</w:t>
      </w:r>
      <w:r>
        <w:rPr>
          <w:rFonts w:ascii="David" w:cs="David" w:eastAsia="David" w:hAnsi="David"/>
          <w:sz w:val="24"/>
          <w:szCs w:val="24"/>
          <w:rtl/>
        </w:rPr>
        <w:t xml:space="preserve">. רעננה: האוניברסיטה הפתוחה.</w:t>
      </w:r>
    </w:p>
    <w:p>
      <w:pPr>
        <w:bidi/>
        <w:spacing w:after="240" w:line="240" w:lineRule="auto"/>
        <w:ind w:left="720" w:hanging="720"/>
        <w:jc w:val="right"/>
      </w:pPr>
      <w:r>
        <w:rPr>
          <w:rFonts w:ascii="David" w:cs="David" w:eastAsia="David" w:hAnsi="David"/>
          <w:sz w:val="24"/>
          <w:szCs w:val="24"/>
          <w:rtl/>
        </w:rPr>
        <w:t xml:space="preserve">לנג, י' (2014). תגובות העיתונות העברית בארץ ישראל על פרשת דרייפוס (1894-1906). </w:t>
      </w:r>
      <w:r>
        <w:rPr>
          <w:rFonts w:ascii="David" w:cs="David" w:eastAsia="David" w:hAnsi="David"/>
          <w:b/>
          <w:bCs/>
          <w:i w:val="false"/>
          <w:iCs w:val="false"/>
          <w:sz w:val="24"/>
          <w:szCs w:val="24"/>
          <w:rtl/>
        </w:rPr>
        <w:t xml:space="preserve">קשר</w:t>
      </w:r>
      <w:r>
        <w:rPr>
          <w:rFonts w:ascii="David" w:cs="David" w:eastAsia="David" w:hAnsi="David"/>
          <w:sz w:val="24"/>
          <w:szCs w:val="24"/>
          <w:rtl/>
        </w:rPr>
        <w:t xml:space="preserve">, 46, 16-29.</w:t>
      </w:r>
    </w:p>
    <w:p>
      <w:pPr>
        <w:bidi/>
        <w:spacing w:after="240" w:line="240" w:lineRule="auto"/>
        <w:ind w:left="720" w:hanging="720"/>
        <w:jc w:val="right"/>
      </w:pPr>
      <w:r>
        <w:rPr>
          <w:rFonts w:ascii="David" w:cs="David" w:eastAsia="David" w:hAnsi="David"/>
          <w:sz w:val="24"/>
          <w:szCs w:val="24"/>
          <w:rtl/>
        </w:rPr>
        <w:t xml:space="preserve">סחייק, ש' (1997). פרשת דרייפוס בעיתונות הערבית. </w:t>
      </w:r>
      <w:r>
        <w:rPr>
          <w:rFonts w:ascii="David" w:cs="David" w:eastAsia="David" w:hAnsi="David"/>
          <w:b/>
          <w:bCs/>
          <w:i w:val="false"/>
          <w:iCs w:val="false"/>
          <w:sz w:val="24"/>
          <w:szCs w:val="24"/>
          <w:rtl/>
        </w:rPr>
        <w:t xml:space="preserve">מיכאל: מאסף לתולדות היהודים בתפוצות</w:t>
      </w:r>
      <w:r>
        <w:rPr>
          <w:rFonts w:ascii="David" w:cs="David" w:eastAsia="David" w:hAnsi="David"/>
          <w:sz w:val="24"/>
          <w:szCs w:val="24"/>
          <w:rtl/>
        </w:rPr>
        <w:t xml:space="preserve">, יד, קפז-ריד.</w:t>
      </w:r>
    </w:p>
    <w:p>
      <w:pPr>
        <w:bidi/>
        <w:spacing w:after="240" w:line="240" w:lineRule="auto"/>
        <w:ind w:left="720" w:hanging="720"/>
        <w:jc w:val="right"/>
      </w:pPr>
      <w:r>
        <w:rPr>
          <w:rFonts w:ascii="David" w:cs="David" w:eastAsia="David" w:hAnsi="David"/>
          <w:sz w:val="24"/>
          <w:szCs w:val="24"/>
          <w:rtl/>
        </w:rPr>
        <w:t xml:space="preserve">פלדמן, ד' (תש"ף). אנטישמיות ואסלאמופוביה (ד' מגן, מתרגם). בתוך ג' מירון וס' אורי (עורכים), אנטישמיות בין מושג היסטורי לשיח ציבורי, </w:t>
      </w:r>
      <w:r>
        <w:rPr>
          <w:rFonts w:ascii="David" w:cs="David" w:eastAsia="David" w:hAnsi="David"/>
          <w:b/>
          <w:bCs/>
          <w:i w:val="false"/>
          <w:iCs w:val="false"/>
          <w:sz w:val="24"/>
          <w:szCs w:val="24"/>
          <w:rtl/>
        </w:rPr>
        <w:t xml:space="preserve">ציון</w:t>
      </w:r>
      <w:r>
        <w:rPr>
          <w:rFonts w:ascii="David" w:cs="David" w:eastAsia="David" w:hAnsi="David"/>
          <w:sz w:val="24"/>
          <w:szCs w:val="24"/>
          <w:rtl/>
        </w:rPr>
        <w:t xml:space="preserve">, פה, 295-307.</w:t>
      </w:r>
    </w:p>
    <w:p>
      <w:pPr>
        <w:bidi/>
        <w:spacing w:after="240" w:line="240" w:lineRule="auto"/>
        <w:ind w:left="720" w:hanging="720"/>
        <w:jc w:val="right"/>
      </w:pPr>
      <w:r>
        <w:rPr>
          <w:rFonts w:ascii="David" w:cs="David" w:eastAsia="David" w:hAnsi="David"/>
          <w:sz w:val="24"/>
          <w:szCs w:val="24"/>
          <w:rtl/>
        </w:rPr>
        <w:t xml:space="preserve">פרידריך, א' (2014). פרשת דרייפוס וכתב העת הוורשאי Rola בין השנים 1894-1906. </w:t>
      </w:r>
      <w:r>
        <w:rPr>
          <w:rFonts w:ascii="David" w:cs="David" w:eastAsia="David" w:hAnsi="David"/>
          <w:b/>
          <w:bCs/>
          <w:i w:val="false"/>
          <w:iCs w:val="false"/>
          <w:sz w:val="24"/>
          <w:szCs w:val="24"/>
          <w:rtl/>
        </w:rPr>
        <w:t xml:space="preserve">קשר</w:t>
      </w:r>
      <w:r>
        <w:rPr>
          <w:rFonts w:ascii="David" w:cs="David" w:eastAsia="David" w:hAnsi="David"/>
          <w:sz w:val="24"/>
          <w:szCs w:val="24"/>
          <w:rtl/>
        </w:rPr>
        <w:t xml:space="preserve">, 46, 39-43.</w:t>
      </w:r>
    </w:p>
    <w:p>
      <w:pPr>
        <w:bidi/>
        <w:spacing w:after="240" w:line="240" w:lineRule="auto"/>
        <w:ind w:left="720" w:hanging="720"/>
        <w:jc w:val="right"/>
      </w:pPr>
      <w:r>
        <w:rPr>
          <w:rFonts w:ascii="David" w:cs="David" w:eastAsia="David" w:hAnsi="David"/>
          <w:sz w:val="24"/>
          <w:szCs w:val="24"/>
          <w:rtl/>
        </w:rPr>
        <w:t xml:space="preserve">קוץ, ג' (2014). ראשיתה של פרשת דרייפוס בעיתונות העברית והיהודית באירופה: כוחן של אידאולוגיות. </w:t>
      </w:r>
      <w:r>
        <w:rPr>
          <w:rFonts w:ascii="David" w:cs="David" w:eastAsia="David" w:hAnsi="David"/>
          <w:b/>
          <w:bCs/>
          <w:i w:val="false"/>
          <w:iCs w:val="false"/>
          <w:sz w:val="24"/>
          <w:szCs w:val="24"/>
          <w:rtl/>
        </w:rPr>
        <w:t xml:space="preserve">קשר</w:t>
      </w:r>
      <w:r>
        <w:rPr>
          <w:rFonts w:ascii="David" w:cs="David" w:eastAsia="David" w:hAnsi="David"/>
          <w:sz w:val="24"/>
          <w:szCs w:val="24"/>
          <w:rtl/>
        </w:rPr>
        <w:t xml:space="preserve">, 46, 4-15.</w:t>
      </w:r>
    </w:p>
    <w:p>
      <w:pPr>
        <w:bidi w:val="false"/>
        <w:spacing w:after="240" w:line="240" w:lineRule="auto"/>
        <w:ind w:left="720" w:hanging="720"/>
        <w:jc w:val="left"/>
      </w:pPr>
      <w:r>
        <w:rPr>
          <w:rFonts w:ascii="David" w:cs="David" w:eastAsia="David" w:hAnsi="David"/>
          <w:sz w:val="24"/>
          <w:szCs w:val="24"/>
          <w:rtl w:val="false"/>
        </w:rPr>
        <w:t xml:space="preserve">Avineri, S. (1999). Theodor Herzl's diaries as a Bildungsroman. </w:t>
      </w:r>
      <w:r>
        <w:rPr>
          <w:rFonts w:ascii="David" w:cs="David" w:eastAsia="David" w:hAnsi="David"/>
          <w:i/>
          <w:iCs/>
          <w:sz w:val="24"/>
          <w:szCs w:val="24"/>
          <w:rtl w:val="false"/>
        </w:rPr>
        <w:t xml:space="preserve">Jewish Social Studies</w:t>
      </w:r>
      <w:r>
        <w:rPr>
          <w:rFonts w:ascii="David" w:cs="David" w:eastAsia="David" w:hAnsi="David"/>
          <w:sz w:val="24"/>
          <w:szCs w:val="24"/>
          <w:rtl w:val="false"/>
        </w:rPr>
        <w:t xml:space="preserve">, 5(3), 1-46.</w:t>
      </w:r>
    </w:p>
    <w:p>
      <w:pPr>
        <w:bidi w:val="false"/>
        <w:spacing w:after="240" w:line="240" w:lineRule="auto"/>
        <w:ind w:left="720" w:hanging="720"/>
        <w:jc w:val="left"/>
      </w:pPr>
      <w:r>
        <w:rPr>
          <w:rFonts w:ascii="David" w:cs="David" w:eastAsia="David" w:hAnsi="David"/>
          <w:sz w:val="24"/>
          <w:szCs w:val="24"/>
          <w:rtl w:val="false"/>
        </w:rPr>
        <w:t xml:space="preserve">Bein, A. (1941). </w:t>
      </w:r>
      <w:r>
        <w:rPr>
          <w:rFonts w:ascii="David" w:cs="David" w:eastAsia="David" w:hAnsi="David"/>
          <w:i/>
          <w:iCs/>
          <w:sz w:val="24"/>
          <w:szCs w:val="24"/>
          <w:rtl w:val="false"/>
        </w:rPr>
        <w:t xml:space="preserve">Theodore Herzl: A biography</w:t>
      </w:r>
      <w:r>
        <w:rPr>
          <w:rFonts w:ascii="David" w:cs="David" w:eastAsia="David" w:hAnsi="David"/>
          <w:sz w:val="24"/>
          <w:szCs w:val="24"/>
          <w:rtl w:val="false"/>
        </w:rPr>
        <w:t xml:space="preserve"> (M. Samuel, Trans.). Philadelphia: Jewish Publication Society.</w:t>
      </w:r>
    </w:p>
    <w:p>
      <w:pPr>
        <w:bidi w:val="false"/>
        <w:spacing w:after="240" w:line="240" w:lineRule="auto"/>
        <w:ind w:left="720" w:hanging="720"/>
        <w:jc w:val="left"/>
      </w:pPr>
      <w:r>
        <w:rPr>
          <w:rFonts w:ascii="David" w:cs="David" w:eastAsia="David" w:hAnsi="David"/>
          <w:sz w:val="24"/>
          <w:szCs w:val="24"/>
          <w:rtl w:val="false"/>
        </w:rPr>
        <w:t xml:space="preserve">Beller, S. (1991). </w:t>
      </w:r>
      <w:r>
        <w:rPr>
          <w:rFonts w:ascii="David" w:cs="David" w:eastAsia="David" w:hAnsi="David"/>
          <w:i/>
          <w:iCs/>
          <w:sz w:val="24"/>
          <w:szCs w:val="24"/>
          <w:rtl w:val="false"/>
        </w:rPr>
        <w:t xml:space="preserve">Herzl</w:t>
      </w:r>
      <w:r>
        <w:rPr>
          <w:rFonts w:ascii="David" w:cs="David" w:eastAsia="David" w:hAnsi="David"/>
          <w:sz w:val="24"/>
          <w:szCs w:val="24"/>
          <w:rtl w:val="false"/>
        </w:rPr>
        <w:t xml:space="preserve">. London: Peter Halban.</w:t>
      </w:r>
    </w:p>
    <w:p>
      <w:pPr>
        <w:bidi w:val="false"/>
        <w:spacing w:after="240" w:line="240" w:lineRule="auto"/>
        <w:ind w:left="720" w:hanging="720"/>
        <w:jc w:val="left"/>
      </w:pPr>
      <w:r>
        <w:rPr>
          <w:rFonts w:ascii="David" w:cs="David" w:eastAsia="David" w:hAnsi="David"/>
          <w:sz w:val="24"/>
          <w:szCs w:val="24"/>
          <w:rtl w:val="false"/>
        </w:rPr>
        <w:t xml:space="preserve">Birnbaum, P. (2003). </w:t>
      </w:r>
      <w:r>
        <w:rPr>
          <w:rFonts w:ascii="David" w:cs="David" w:eastAsia="David" w:hAnsi="David"/>
          <w:i/>
          <w:iCs/>
          <w:sz w:val="24"/>
          <w:szCs w:val="24"/>
          <w:rtl w:val="false"/>
        </w:rPr>
        <w:t xml:space="preserve">The anti-Semitic moment: A tour of France in 1898</w:t>
      </w:r>
      <w:r>
        <w:rPr>
          <w:rFonts w:ascii="David" w:cs="David" w:eastAsia="David" w:hAnsi="David"/>
          <w:sz w:val="24"/>
          <w:szCs w:val="24"/>
          <w:rtl w:val="false"/>
        </w:rPr>
        <w:t xml:space="preserve"> (J. M. Todd, Trans.). New York: Hill and Wang.</w:t>
      </w:r>
    </w:p>
    <w:p>
      <w:pPr>
        <w:bidi w:val="false"/>
        <w:spacing w:after="240" w:line="240" w:lineRule="auto"/>
        <w:ind w:left="720" w:hanging="720"/>
        <w:jc w:val="left"/>
      </w:pPr>
      <w:r>
        <w:rPr>
          <w:rFonts w:ascii="David" w:cs="David" w:eastAsia="David" w:hAnsi="David"/>
          <w:sz w:val="24"/>
          <w:szCs w:val="24"/>
          <w:rtl w:val="false"/>
        </w:rPr>
        <w:t xml:space="preserve">Bredin, J.-D. (1986). </w:t>
      </w:r>
      <w:r>
        <w:rPr>
          <w:rFonts w:ascii="David" w:cs="David" w:eastAsia="David" w:hAnsi="David"/>
          <w:i/>
          <w:iCs/>
          <w:sz w:val="24"/>
          <w:szCs w:val="24"/>
          <w:rtl w:val="false"/>
        </w:rPr>
        <w:t xml:space="preserve">The affair: The case of Alfred Dreyfus</w:t>
      </w:r>
      <w:r>
        <w:rPr>
          <w:rFonts w:ascii="David" w:cs="David" w:eastAsia="David" w:hAnsi="David"/>
          <w:sz w:val="24"/>
          <w:szCs w:val="24"/>
          <w:rtl w:val="false"/>
        </w:rPr>
        <w:t xml:space="preserve"> (J. Mehlman, Trans.). New York: George Braziller.</w:t>
      </w:r>
    </w:p>
    <w:p>
      <w:pPr>
        <w:bidi w:val="false"/>
        <w:spacing w:after="240" w:line="240" w:lineRule="auto"/>
        <w:ind w:left="720" w:hanging="720"/>
        <w:jc w:val="left"/>
      </w:pPr>
      <w:r>
        <w:rPr>
          <w:rFonts w:ascii="David" w:cs="David" w:eastAsia="David" w:hAnsi="David"/>
          <w:sz w:val="24"/>
          <w:szCs w:val="24"/>
          <w:rtl w:val="false"/>
        </w:rPr>
        <w:t xml:space="preserve">Cahm, E. (1996). </w:t>
      </w:r>
      <w:r>
        <w:rPr>
          <w:rFonts w:ascii="David" w:cs="David" w:eastAsia="David" w:hAnsi="David"/>
          <w:i/>
          <w:iCs/>
          <w:sz w:val="24"/>
          <w:szCs w:val="24"/>
          <w:rtl w:val="false"/>
        </w:rPr>
        <w:t xml:space="preserve">The Dreyfus affair in French society and politics</w:t>
      </w:r>
      <w:r>
        <w:rPr>
          <w:rFonts w:ascii="David" w:cs="David" w:eastAsia="David" w:hAnsi="David"/>
          <w:sz w:val="24"/>
          <w:szCs w:val="24"/>
          <w:rtl w:val="false"/>
        </w:rPr>
        <w:t xml:space="preserve">. London: Longman.</w:t>
      </w:r>
    </w:p>
    <w:p>
      <w:pPr>
        <w:bidi w:val="false"/>
        <w:spacing w:after="240" w:line="240" w:lineRule="auto"/>
        <w:ind w:left="720" w:hanging="720"/>
        <w:jc w:val="left"/>
      </w:pPr>
      <w:r>
        <w:rPr>
          <w:rFonts w:ascii="David" w:cs="David" w:eastAsia="David" w:hAnsi="David"/>
          <w:sz w:val="24"/>
          <w:szCs w:val="24"/>
          <w:rtl w:val="false"/>
        </w:rPr>
        <w:t xml:space="preserve">Elon, A. (1975). </w:t>
      </w:r>
      <w:r>
        <w:rPr>
          <w:rFonts w:ascii="David" w:cs="David" w:eastAsia="David" w:hAnsi="David"/>
          <w:i/>
          <w:iCs/>
          <w:sz w:val="24"/>
          <w:szCs w:val="24"/>
          <w:rtl w:val="false"/>
        </w:rPr>
        <w:t xml:space="preserve">Herzl</w:t>
      </w:r>
      <w:r>
        <w:rPr>
          <w:rFonts w:ascii="David" w:cs="David" w:eastAsia="David" w:hAnsi="David"/>
          <w:sz w:val="24"/>
          <w:szCs w:val="24"/>
          <w:rtl w:val="false"/>
        </w:rPr>
        <w:t xml:space="preserve">. New York: Holt, Rinehart and Winston.</w:t>
      </w:r>
    </w:p>
    <w:p>
      <w:pPr>
        <w:bidi w:val="false"/>
        <w:spacing w:after="240" w:line="240" w:lineRule="auto"/>
        <w:ind w:left="720" w:hanging="720"/>
        <w:jc w:val="left"/>
      </w:pPr>
      <w:r>
        <w:rPr>
          <w:rFonts w:ascii="David" w:cs="David" w:eastAsia="David" w:hAnsi="David"/>
          <w:sz w:val="24"/>
          <w:szCs w:val="24"/>
          <w:rtl w:val="false"/>
        </w:rPr>
        <w:t xml:space="preserve">Engel, D. (2009). Away from a definition of antisemitism: An essay in the semantics of historical description. In J. Cohen &amp; M. Rosman (Eds.), </w:t>
      </w:r>
      <w:r>
        <w:rPr>
          <w:rFonts w:ascii="David" w:cs="David" w:eastAsia="David" w:hAnsi="David"/>
          <w:i/>
          <w:iCs/>
          <w:sz w:val="24"/>
          <w:szCs w:val="24"/>
          <w:rtl w:val="false"/>
        </w:rPr>
        <w:t xml:space="preserve">Rethinking European Jewish history</w:t>
      </w:r>
      <w:r>
        <w:rPr>
          <w:rFonts w:ascii="David" w:cs="David" w:eastAsia="David" w:hAnsi="David"/>
          <w:sz w:val="24"/>
          <w:szCs w:val="24"/>
          <w:rtl w:val="false"/>
        </w:rPr>
        <w:t xml:space="preserve"> (pp. 30-53). Oxford: Littman Library of Jewish Civilization.</w:t>
      </w:r>
    </w:p>
    <w:p>
      <w:pPr>
        <w:bidi w:val="false"/>
        <w:spacing w:after="240" w:line="240" w:lineRule="auto"/>
        <w:ind w:left="720" w:hanging="720"/>
        <w:jc w:val="left"/>
      </w:pPr>
      <w:r>
        <w:rPr>
          <w:rFonts w:ascii="David" w:cs="David" w:eastAsia="David" w:hAnsi="David"/>
          <w:sz w:val="24"/>
          <w:szCs w:val="24"/>
          <w:rtl w:val="false"/>
        </w:rPr>
        <w:t xml:space="preserve">Harris, R. (2010). </w:t>
      </w:r>
      <w:r>
        <w:rPr>
          <w:rFonts w:ascii="David" w:cs="David" w:eastAsia="David" w:hAnsi="David"/>
          <w:i/>
          <w:iCs/>
          <w:sz w:val="24"/>
          <w:szCs w:val="24"/>
          <w:rtl w:val="false"/>
        </w:rPr>
        <w:t xml:space="preserve">Dreyfus: Politics, emotion, and the scandal of the century</w:t>
      </w:r>
      <w:r>
        <w:rPr>
          <w:rFonts w:ascii="David" w:cs="David" w:eastAsia="David" w:hAnsi="David"/>
          <w:sz w:val="24"/>
          <w:szCs w:val="24"/>
          <w:rtl w:val="false"/>
        </w:rPr>
        <w:t xml:space="preserve">. New York: Metropolitan Books.</w:t>
      </w:r>
    </w:p>
    <w:p>
      <w:pPr>
        <w:bidi w:val="false"/>
        <w:spacing w:after="240" w:line="240" w:lineRule="auto"/>
        <w:ind w:left="720" w:hanging="720"/>
        <w:jc w:val="left"/>
      </w:pPr>
      <w:r>
        <w:rPr>
          <w:rFonts w:ascii="David" w:cs="David" w:eastAsia="David" w:hAnsi="David"/>
          <w:sz w:val="24"/>
          <w:szCs w:val="24"/>
          <w:rtl w:val="false"/>
        </w:rPr>
        <w:t xml:space="preserve">Herzl, T. (1899). Zionism. </w:t>
      </w:r>
      <w:r>
        <w:rPr>
          <w:rFonts w:ascii="David" w:cs="David" w:eastAsia="David" w:hAnsi="David"/>
          <w:i/>
          <w:iCs/>
          <w:sz w:val="24"/>
          <w:szCs w:val="24"/>
          <w:rtl w:val="false"/>
        </w:rPr>
        <w:t xml:space="preserve">The North American Review</w:t>
      </w:r>
      <w:r>
        <w:rPr>
          <w:rFonts w:ascii="David" w:cs="David" w:eastAsia="David" w:hAnsi="David"/>
          <w:sz w:val="24"/>
          <w:szCs w:val="24"/>
          <w:rtl w:val="false"/>
        </w:rPr>
        <w:t xml:space="preserve">, 169, 1-8.</w:t>
      </w:r>
    </w:p>
    <w:p>
      <w:pPr>
        <w:bidi w:val="false"/>
        <w:spacing w:after="240" w:line="240" w:lineRule="auto"/>
        <w:ind w:left="720" w:hanging="720"/>
        <w:jc w:val="left"/>
      </w:pPr>
      <w:r>
        <w:rPr>
          <w:rFonts w:ascii="David" w:cs="David" w:eastAsia="David" w:hAnsi="David"/>
          <w:sz w:val="24"/>
          <w:szCs w:val="24"/>
          <w:rtl w:val="false"/>
        </w:rPr>
        <w:t xml:space="preserve">Herzl, T. (1960). </w:t>
      </w:r>
      <w:r>
        <w:rPr>
          <w:rFonts w:ascii="David" w:cs="David" w:eastAsia="David" w:hAnsi="David"/>
          <w:i/>
          <w:iCs/>
          <w:sz w:val="24"/>
          <w:szCs w:val="24"/>
          <w:rtl w:val="false"/>
        </w:rPr>
        <w:t xml:space="preserve">The complete diaries of Theodor Herzl</w:t>
      </w:r>
      <w:r>
        <w:rPr>
          <w:rFonts w:ascii="David" w:cs="David" w:eastAsia="David" w:hAnsi="David"/>
          <w:sz w:val="24"/>
          <w:szCs w:val="24"/>
          <w:rtl w:val="false"/>
        </w:rPr>
        <w:t xml:space="preserve"> (R. Patai, Ed.; H. Zohn, Trans.) (5 vols.). New York: Herzl Press and Thomas Yoseloff.</w:t>
      </w:r>
    </w:p>
    <w:p>
      <w:pPr>
        <w:bidi w:val="false"/>
        <w:spacing w:after="240" w:line="240" w:lineRule="auto"/>
        <w:ind w:left="720" w:hanging="720"/>
        <w:jc w:val="left"/>
      </w:pPr>
      <w:r>
        <w:rPr>
          <w:rFonts w:ascii="David" w:cs="David" w:eastAsia="David" w:hAnsi="David"/>
          <w:sz w:val="24"/>
          <w:szCs w:val="24"/>
          <w:rtl w:val="false"/>
        </w:rPr>
        <w:t xml:space="preserve">Herzl, T. (1988). </w:t>
      </w:r>
      <w:r>
        <w:rPr>
          <w:rFonts w:ascii="David" w:cs="David" w:eastAsia="David" w:hAnsi="David"/>
          <w:i/>
          <w:iCs/>
          <w:sz w:val="24"/>
          <w:szCs w:val="24"/>
          <w:rtl w:val="false"/>
        </w:rPr>
        <w:t xml:space="preserve">The Jewish state</w:t>
      </w:r>
      <w:r>
        <w:rPr>
          <w:rFonts w:ascii="David" w:cs="David" w:eastAsia="David" w:hAnsi="David"/>
          <w:sz w:val="24"/>
          <w:szCs w:val="24"/>
          <w:rtl w:val="false"/>
        </w:rPr>
        <w:t xml:space="preserve">. New York: Dover. (Original work published 1896)</w:t>
      </w:r>
    </w:p>
    <w:p>
      <w:pPr>
        <w:bidi w:val="false"/>
        <w:spacing w:after="240" w:line="240" w:lineRule="auto"/>
        <w:ind w:left="720" w:hanging="720"/>
        <w:jc w:val="left"/>
      </w:pPr>
      <w:r>
        <w:rPr>
          <w:rFonts w:ascii="David" w:cs="David" w:eastAsia="David" w:hAnsi="David"/>
          <w:sz w:val="24"/>
          <w:szCs w:val="24"/>
          <w:rtl w:val="false"/>
        </w:rPr>
        <w:t xml:space="preserve">Hyman, P. E. (1998). </w:t>
      </w:r>
      <w:r>
        <w:rPr>
          <w:rFonts w:ascii="David" w:cs="David" w:eastAsia="David" w:hAnsi="David"/>
          <w:i/>
          <w:iCs/>
          <w:sz w:val="24"/>
          <w:szCs w:val="24"/>
          <w:rtl w:val="false"/>
        </w:rPr>
        <w:t xml:space="preserve">The Jews of modern France</w:t>
      </w:r>
      <w:r>
        <w:rPr>
          <w:rFonts w:ascii="David" w:cs="David" w:eastAsia="David" w:hAnsi="David"/>
          <w:sz w:val="24"/>
          <w:szCs w:val="24"/>
          <w:rtl w:val="false"/>
        </w:rPr>
        <w:t xml:space="preserve">. Berkeley: University of California Press.</w:t>
      </w:r>
    </w:p>
    <w:p>
      <w:pPr>
        <w:bidi w:val="false"/>
        <w:spacing w:after="240" w:line="240" w:lineRule="auto"/>
        <w:ind w:left="720" w:hanging="720"/>
        <w:jc w:val="left"/>
      </w:pPr>
      <w:r>
        <w:rPr>
          <w:rFonts w:ascii="David" w:cs="David" w:eastAsia="David" w:hAnsi="David"/>
          <w:sz w:val="24"/>
          <w:szCs w:val="24"/>
          <w:rtl w:val="false"/>
        </w:rPr>
        <w:t xml:space="preserve">Kornberg, J. (1980). Theodor Herzl: A reevaluation. </w:t>
      </w:r>
      <w:r>
        <w:rPr>
          <w:rFonts w:ascii="David" w:cs="David" w:eastAsia="David" w:hAnsi="David"/>
          <w:i/>
          <w:iCs/>
          <w:sz w:val="24"/>
          <w:szCs w:val="24"/>
          <w:rtl w:val="false"/>
        </w:rPr>
        <w:t xml:space="preserve">Journal of Modern History</w:t>
      </w:r>
      <w:r>
        <w:rPr>
          <w:rFonts w:ascii="David" w:cs="David" w:eastAsia="David" w:hAnsi="David"/>
          <w:sz w:val="24"/>
          <w:szCs w:val="24"/>
          <w:rtl w:val="false"/>
        </w:rPr>
        <w:t xml:space="preserve">, 52, 226-252.</w:t>
      </w:r>
    </w:p>
    <w:p>
      <w:pPr>
        <w:bidi w:val="false"/>
        <w:spacing w:after="240" w:line="240" w:lineRule="auto"/>
        <w:ind w:left="720" w:hanging="720"/>
        <w:jc w:val="left"/>
      </w:pPr>
      <w:r>
        <w:rPr>
          <w:rFonts w:ascii="David" w:cs="David" w:eastAsia="David" w:hAnsi="David"/>
          <w:sz w:val="24"/>
          <w:szCs w:val="24"/>
          <w:rtl w:val="false"/>
        </w:rPr>
        <w:t xml:space="preserve">Kornberg, J. (1993). </w:t>
      </w:r>
      <w:r>
        <w:rPr>
          <w:rFonts w:ascii="David" w:cs="David" w:eastAsia="David" w:hAnsi="David"/>
          <w:i/>
          <w:iCs/>
          <w:sz w:val="24"/>
          <w:szCs w:val="24"/>
          <w:rtl w:val="false"/>
        </w:rPr>
        <w:t xml:space="preserve">Theodor Herzl: From assimilation to Zionism</w:t>
      </w:r>
      <w:r>
        <w:rPr>
          <w:rFonts w:ascii="David" w:cs="David" w:eastAsia="David" w:hAnsi="David"/>
          <w:sz w:val="24"/>
          <w:szCs w:val="24"/>
          <w:rtl w:val="false"/>
        </w:rPr>
        <w:t xml:space="preserve">. Bloomington: Indiana University Press.</w:t>
      </w:r>
    </w:p>
    <w:p>
      <w:pPr>
        <w:bidi w:val="false"/>
        <w:spacing w:after="240" w:line="240" w:lineRule="auto"/>
        <w:ind w:left="720" w:hanging="720"/>
        <w:jc w:val="left"/>
      </w:pPr>
      <w:r>
        <w:rPr>
          <w:rFonts w:ascii="David" w:cs="David" w:eastAsia="David" w:hAnsi="David"/>
          <w:sz w:val="24"/>
          <w:szCs w:val="24"/>
          <w:rtl w:val="false"/>
        </w:rPr>
        <w:t xml:space="preserve">Lazare, B. (1896). </w:t>
      </w:r>
      <w:r>
        <w:rPr>
          <w:rFonts w:ascii="David" w:cs="David" w:eastAsia="David" w:hAnsi="David"/>
          <w:i/>
          <w:iCs/>
          <w:sz w:val="24"/>
          <w:szCs w:val="24"/>
          <w:rtl w:val="false"/>
        </w:rPr>
        <w:t xml:space="preserve">Une erreur judiciaire: La vérité sur l'affaire Dreyfus</w:t>
      </w:r>
      <w:r>
        <w:rPr>
          <w:rFonts w:ascii="David" w:cs="David" w:eastAsia="David" w:hAnsi="David"/>
          <w:sz w:val="24"/>
          <w:szCs w:val="24"/>
          <w:rtl w:val="false"/>
        </w:rPr>
        <w:t xml:space="preserve">. Brussels: Veuve Monnom.</w:t>
      </w:r>
    </w:p>
    <w:p>
      <w:pPr>
        <w:bidi w:val="false"/>
        <w:spacing w:after="240" w:line="240" w:lineRule="auto"/>
        <w:ind w:left="720" w:hanging="720"/>
        <w:jc w:val="left"/>
      </w:pPr>
      <w:r>
        <w:rPr>
          <w:rFonts w:ascii="David" w:cs="David" w:eastAsia="David" w:hAnsi="David"/>
          <w:sz w:val="24"/>
          <w:szCs w:val="24"/>
          <w:rtl w:val="false"/>
        </w:rPr>
        <w:t xml:space="preserve">Marrus, M. R. (1971). </w:t>
      </w:r>
      <w:r>
        <w:rPr>
          <w:rFonts w:ascii="David" w:cs="David" w:eastAsia="David" w:hAnsi="David"/>
          <w:i/>
          <w:iCs/>
          <w:sz w:val="24"/>
          <w:szCs w:val="24"/>
          <w:rtl w:val="false"/>
        </w:rPr>
        <w:t xml:space="preserve">The politics of assimilation: A study of the French Jewish community at the time of the Dreyfus affair</w:t>
      </w:r>
      <w:r>
        <w:rPr>
          <w:rFonts w:ascii="David" w:cs="David" w:eastAsia="David" w:hAnsi="David"/>
          <w:sz w:val="24"/>
          <w:szCs w:val="24"/>
          <w:rtl w:val="false"/>
        </w:rPr>
        <w:t xml:space="preserve">. Oxford: Clarendon Press.</w:t>
      </w:r>
    </w:p>
    <w:p>
      <w:pPr>
        <w:bidi w:val="false"/>
        <w:spacing w:after="240" w:line="240" w:lineRule="auto"/>
        <w:ind w:left="720" w:hanging="720"/>
        <w:jc w:val="left"/>
      </w:pPr>
      <w:r>
        <w:rPr>
          <w:rFonts w:ascii="David" w:cs="David" w:eastAsia="David" w:hAnsi="David"/>
          <w:sz w:val="24"/>
          <w:szCs w:val="24"/>
          <w:rtl w:val="false"/>
        </w:rPr>
        <w:t xml:space="preserve">Pawel, E. (1989). </w:t>
      </w:r>
      <w:r>
        <w:rPr>
          <w:rFonts w:ascii="David" w:cs="David" w:eastAsia="David" w:hAnsi="David"/>
          <w:i/>
          <w:iCs/>
          <w:sz w:val="24"/>
          <w:szCs w:val="24"/>
          <w:rtl w:val="false"/>
        </w:rPr>
        <w:t xml:space="preserve">The labyrinth of exile: A life of Theodor Herzl</w:t>
      </w:r>
      <w:r>
        <w:rPr>
          <w:rFonts w:ascii="David" w:cs="David" w:eastAsia="David" w:hAnsi="David"/>
          <w:sz w:val="24"/>
          <w:szCs w:val="24"/>
          <w:rtl w:val="false"/>
        </w:rPr>
        <w:t xml:space="preserve">. New York: Farrar, Straus and Giroux.</w:t>
      </w:r>
    </w:p>
    <w:p>
      <w:pPr>
        <w:bidi w:val="false"/>
        <w:spacing w:after="240" w:line="240" w:lineRule="auto"/>
        <w:ind w:left="720" w:hanging="720"/>
        <w:jc w:val="left"/>
      </w:pPr>
      <w:r>
        <w:rPr>
          <w:rFonts w:ascii="David" w:cs="David" w:eastAsia="David" w:hAnsi="David"/>
          <w:sz w:val="24"/>
          <w:szCs w:val="24"/>
          <w:rtl w:val="false"/>
        </w:rPr>
        <w:t xml:space="preserve">Penslar, D. (2020). </w:t>
      </w:r>
      <w:r>
        <w:rPr>
          <w:rFonts w:ascii="David" w:cs="David" w:eastAsia="David" w:hAnsi="David"/>
          <w:i/>
          <w:iCs/>
          <w:sz w:val="24"/>
          <w:szCs w:val="24"/>
          <w:rtl w:val="false"/>
        </w:rPr>
        <w:t xml:space="preserve">Theodor Herzl: The charismatic leader</w:t>
      </w:r>
      <w:r>
        <w:rPr>
          <w:rFonts w:ascii="David" w:cs="David" w:eastAsia="David" w:hAnsi="David"/>
          <w:sz w:val="24"/>
          <w:szCs w:val="24"/>
          <w:rtl w:val="false"/>
        </w:rPr>
        <w:t xml:space="preserve">. New Haven: Yale University Press.</w:t>
      </w:r>
    </w:p>
    <w:p>
      <w:pPr>
        <w:bidi w:val="false"/>
        <w:spacing w:after="240" w:line="240" w:lineRule="auto"/>
        <w:ind w:left="720" w:hanging="720"/>
        <w:jc w:val="left"/>
      </w:pPr>
      <w:r>
        <w:rPr>
          <w:rFonts w:ascii="David" w:cs="David" w:eastAsia="David" w:hAnsi="David"/>
          <w:sz w:val="24"/>
          <w:szCs w:val="24"/>
          <w:rtl w:val="false"/>
        </w:rPr>
        <w:t xml:space="preserve">Pulzer, P. (1988). </w:t>
      </w:r>
      <w:r>
        <w:rPr>
          <w:rFonts w:ascii="David" w:cs="David" w:eastAsia="David" w:hAnsi="David"/>
          <w:i/>
          <w:iCs/>
          <w:sz w:val="24"/>
          <w:szCs w:val="24"/>
          <w:rtl w:val="false"/>
        </w:rPr>
        <w:t xml:space="preserve">The rise of political anti-Semitism in Germany and Austria</w:t>
      </w:r>
      <w:r>
        <w:rPr>
          <w:rFonts w:ascii="David" w:cs="David" w:eastAsia="David" w:hAnsi="David"/>
          <w:sz w:val="24"/>
          <w:szCs w:val="24"/>
          <w:rtl w:val="false"/>
        </w:rPr>
        <w:t xml:space="preserve"> (Rev. ed.). Cambridge, MA: Harvard University Press.</w:t>
      </w:r>
    </w:p>
    <w:p>
      <w:pPr>
        <w:bidi w:val="false"/>
        <w:spacing w:after="240" w:line="240" w:lineRule="auto"/>
        <w:ind w:left="720" w:hanging="720"/>
        <w:jc w:val="left"/>
      </w:pPr>
      <w:r>
        <w:rPr>
          <w:rFonts w:ascii="David" w:cs="David" w:eastAsia="David" w:hAnsi="David"/>
          <w:sz w:val="24"/>
          <w:szCs w:val="24"/>
          <w:rtl w:val="false"/>
        </w:rPr>
        <w:t xml:space="preserve">Schorske, C. E. (1980). </w:t>
      </w:r>
      <w:r>
        <w:rPr>
          <w:rFonts w:ascii="David" w:cs="David" w:eastAsia="David" w:hAnsi="David"/>
          <w:i/>
          <w:iCs/>
          <w:sz w:val="24"/>
          <w:szCs w:val="24"/>
          <w:rtl w:val="false"/>
        </w:rPr>
        <w:t xml:space="preserve">Fin-de-siècle Vienna: Politics and culture</w:t>
      </w:r>
      <w:r>
        <w:rPr>
          <w:rFonts w:ascii="David" w:cs="David" w:eastAsia="David" w:hAnsi="David"/>
          <w:sz w:val="24"/>
          <w:szCs w:val="24"/>
          <w:rtl w:val="false"/>
        </w:rPr>
        <w:t xml:space="preserve">. New York: Alfred A. Knopf.</w:t>
      </w:r>
    </w:p>
    <w:p>
      <w:pPr>
        <w:bidi w:val="false"/>
        <w:spacing w:after="240" w:line="240" w:lineRule="auto"/>
        <w:ind w:left="720" w:hanging="720"/>
        <w:jc w:val="left"/>
      </w:pPr>
      <w:r>
        <w:rPr>
          <w:rFonts w:ascii="David" w:cs="David" w:eastAsia="David" w:hAnsi="David"/>
          <w:sz w:val="24"/>
          <w:szCs w:val="24"/>
          <w:rtl w:val="false"/>
        </w:rPr>
        <w:t xml:space="preserve">Stewart, D. (1974). </w:t>
      </w:r>
      <w:r>
        <w:rPr>
          <w:rFonts w:ascii="David" w:cs="David" w:eastAsia="David" w:hAnsi="David"/>
          <w:i/>
          <w:iCs/>
          <w:sz w:val="24"/>
          <w:szCs w:val="24"/>
          <w:rtl w:val="false"/>
        </w:rPr>
        <w:t xml:space="preserve">Theodor Herzl: Artist and politician</w:t>
      </w:r>
      <w:r>
        <w:rPr>
          <w:rFonts w:ascii="David" w:cs="David" w:eastAsia="David" w:hAnsi="David"/>
          <w:sz w:val="24"/>
          <w:szCs w:val="24"/>
          <w:rtl w:val="false"/>
        </w:rPr>
        <w:t xml:space="preserve">. London: Hamish Hamilton.</w:t>
      </w:r>
    </w:p>
    <w:p>
      <w:pPr>
        <w:bidi w:val="false"/>
        <w:spacing w:after="240" w:line="240" w:lineRule="auto"/>
        <w:ind w:left="720" w:hanging="720"/>
        <w:jc w:val="left"/>
      </w:pPr>
      <w:r>
        <w:rPr>
          <w:rFonts w:ascii="David" w:cs="David" w:eastAsia="David" w:hAnsi="David"/>
          <w:sz w:val="24"/>
          <w:szCs w:val="24"/>
          <w:rtl w:val="false"/>
        </w:rPr>
        <w:t xml:space="preserve">Volkov, S. (1978). Antisemitism as a cultural code: Reflections on the history and historiography of antisemitism in Imperial Germany. </w:t>
      </w:r>
      <w:r>
        <w:rPr>
          <w:rFonts w:ascii="David" w:cs="David" w:eastAsia="David" w:hAnsi="David"/>
          <w:i/>
          <w:iCs/>
          <w:sz w:val="24"/>
          <w:szCs w:val="24"/>
          <w:rtl w:val="false"/>
        </w:rPr>
        <w:t xml:space="preserve">Leo Baeck Institute Year Book</w:t>
      </w:r>
      <w:r>
        <w:rPr>
          <w:rFonts w:ascii="David" w:cs="David" w:eastAsia="David" w:hAnsi="David"/>
          <w:sz w:val="24"/>
          <w:szCs w:val="24"/>
          <w:rtl w:val="false"/>
        </w:rPr>
        <w:t xml:space="preserve">, 23, 25-46.</w:t>
      </w:r>
    </w:p>
    <w:p>
      <w:pPr>
        <w:bidi w:val="false"/>
        <w:spacing w:after="240" w:line="240" w:lineRule="auto"/>
        <w:ind w:left="720" w:hanging="720"/>
        <w:jc w:val="left"/>
      </w:pPr>
      <w:r>
        <w:rPr>
          <w:rFonts w:ascii="David" w:cs="David" w:eastAsia="David" w:hAnsi="David"/>
          <w:sz w:val="24"/>
          <w:szCs w:val="24"/>
          <w:rtl w:val="false"/>
        </w:rPr>
        <w:t xml:space="preserve">Wilson, S. (1982). </w:t>
      </w:r>
      <w:r>
        <w:rPr>
          <w:rFonts w:ascii="David" w:cs="David" w:eastAsia="David" w:hAnsi="David"/>
          <w:i/>
          <w:iCs/>
          <w:sz w:val="24"/>
          <w:szCs w:val="24"/>
          <w:rtl w:val="false"/>
        </w:rPr>
        <w:t xml:space="preserve">Ideology and experience: Antisemitism in France at the time of the Dreyfus affair</w:t>
      </w:r>
      <w:r>
        <w:rPr>
          <w:rFonts w:ascii="David" w:cs="David" w:eastAsia="David" w:hAnsi="David"/>
          <w:sz w:val="24"/>
          <w:szCs w:val="24"/>
          <w:rtl w:val="false"/>
        </w:rPr>
        <w:t xml:space="preserve">. Rutherford: Fairleigh Dickinson University Press.</w:t>
      </w:r>
    </w:p>
    <w:p>
      <w:pPr>
        <w:bidi w:val="false"/>
        <w:spacing w:after="240" w:line="240" w:lineRule="auto"/>
        <w:ind w:left="720" w:hanging="720"/>
        <w:jc w:val="left"/>
      </w:pPr>
      <w:r>
        <w:rPr>
          <w:rFonts w:ascii="David" w:cs="David" w:eastAsia="David" w:hAnsi="David"/>
          <w:sz w:val="24"/>
          <w:szCs w:val="24"/>
          <w:rtl w:val="false"/>
        </w:rPr>
        <w:t xml:space="preserve">Wistrich, R. S. (1989). </w:t>
      </w:r>
      <w:r>
        <w:rPr>
          <w:rFonts w:ascii="David" w:cs="David" w:eastAsia="David" w:hAnsi="David"/>
          <w:i/>
          <w:iCs/>
          <w:sz w:val="24"/>
          <w:szCs w:val="24"/>
          <w:rtl w:val="false"/>
        </w:rPr>
        <w:t xml:space="preserve">The Jews of Vienna in the age of Franz Joseph</w:t>
      </w:r>
      <w:r>
        <w:rPr>
          <w:rFonts w:ascii="David" w:cs="David" w:eastAsia="David" w:hAnsi="David"/>
          <w:sz w:val="24"/>
          <w:szCs w:val="24"/>
          <w:rtl w:val="false"/>
        </w:rPr>
        <w:t xml:space="preserve">. Oxford: Oxford University Press.</w:t>
      </w:r>
    </w:p>
    <w:p>
      <w:pPr>
        <w:bidi w:val="false"/>
        <w:spacing w:after="240" w:line="240" w:lineRule="auto"/>
        <w:ind w:left="720" w:hanging="720"/>
        <w:jc w:val="left"/>
      </w:pPr>
      <w:r>
        <w:rPr>
          <w:rFonts w:ascii="David" w:cs="David" w:eastAsia="David" w:hAnsi="David"/>
          <w:sz w:val="24"/>
          <w:szCs w:val="24"/>
          <w:rtl w:val="false"/>
        </w:rPr>
        <w:t xml:space="preserve">Wistrich, R. S. (1995). Theodor Herzl: Zionist icon, myth-maker, and social utopian. </w:t>
      </w:r>
      <w:r>
        <w:rPr>
          <w:rFonts w:ascii="David" w:cs="David" w:eastAsia="David" w:hAnsi="David"/>
          <w:i/>
          <w:iCs/>
          <w:sz w:val="24"/>
          <w:szCs w:val="24"/>
          <w:rtl w:val="false"/>
        </w:rPr>
        <w:t xml:space="preserve">Israel Affairs</w:t>
      </w:r>
      <w:r>
        <w:rPr>
          <w:rFonts w:ascii="David" w:cs="David" w:eastAsia="David" w:hAnsi="David"/>
          <w:sz w:val="24"/>
          <w:szCs w:val="24"/>
          <w:rtl w:val="false"/>
        </w:rPr>
        <w:t xml:space="preserve">, 1(3), 1-37.</w:t>
      </w:r>
    </w:p>
    <w:p>
      <w:pPr>
        <w:bidi w:val="false"/>
        <w:spacing w:after="240" w:line="240" w:lineRule="auto"/>
        <w:ind w:left="720" w:hanging="720"/>
        <w:jc w:val="left"/>
      </w:pPr>
      <w:r>
        <w:rPr>
          <w:rFonts w:ascii="David" w:cs="David" w:eastAsia="David" w:hAnsi="David"/>
          <w:sz w:val="24"/>
          <w:szCs w:val="24"/>
          <w:rtl w:val="false"/>
        </w:rPr>
        <w:t xml:space="preserve">Zola, É. (1898, January 13). J'accuse...! Lettre au Président de la République. </w:t>
      </w:r>
      <w:r>
        <w:rPr>
          <w:rFonts w:ascii="David" w:cs="David" w:eastAsia="David" w:hAnsi="David"/>
          <w:i/>
          <w:iCs/>
          <w:sz w:val="24"/>
          <w:szCs w:val="24"/>
          <w:rtl w:val="false"/>
        </w:rPr>
        <w:t xml:space="preserve">L'Aurore</w:t>
      </w:r>
      <w:r>
        <w:rPr>
          <w:rFonts w:ascii="David" w:cs="David" w:eastAsia="David" w:hAnsi="David"/>
          <w:sz w:val="24"/>
          <w:szCs w:val="24"/>
          <w:rtl w:val="false"/>
        </w:rPr>
        <w:t xml:space="preserve">. [Electronic version]. Retrieved September 19, 2026, from Project Gutenberg, ebook no. 76045: https://www.gutenberg.org/ebooks/76045</w:t>
      </w:r>
    </w:p>
    <w:sectPr>
      <w:footerReference w:type="default" r:id="rId7"/>
      <w:footerReference w:type="first" r:id="rId8"/>
      <w:pgSz w:w="11906" w:h="16838" w:orient="portrait"/>
      <w:pgMar w:top="1440" w:right="1440" w:bottom="1440" w:left="1440" w:header="708" w:footer="708" w:gutter="0"/>
      <w:pgNumType/>
      <w:titlePg/>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David" w:cs="David" w:eastAsia="David" w:hAnsi="David"/>
        <w:sz w:val="20"/>
        <w:szCs w:val="20"/>
      </w:rPr>
      <w:fldChar w:fldCharType="begin"/>
      <w:instrText xml:space="preserve">PAGE</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 w:id="1">
    <w:p>
      <w:pPr>
        <w:bidi w:val="false"/>
        <w:spacing w:after="40" w:line="240" w:lineRule="auto"/>
        <w:jc w:val="left"/>
      </w:pPr>
      <w:r>
        <w:rPr>
          <w:rStyle w:val="FootnoteReference"/>
        </w:rPr>
        <w:footnoteRef/>
      </w:r>
      <w:r>
        <w:rPr>
          <w:rFonts w:ascii="David" w:cs="David" w:eastAsia="David" w:hAnsi="David"/>
          <w:sz w:val="20"/>
          <w:szCs w:val="20"/>
        </w:rPr>
        <w:t xml:space="preserve"> </w:t>
      </w:r>
      <w:r>
        <w:rPr>
          <w:rFonts w:ascii="David" w:cs="David" w:eastAsia="David" w:hAnsi="David"/>
          <w:sz w:val="20"/>
          <w:szCs w:val="20"/>
          <w:rtl w:val="false"/>
        </w:rPr>
        <w:t xml:space="preserve">Theodor Herzl, "Zionism," </w:t>
      </w:r>
      <w:r>
        <w:rPr>
          <w:rFonts w:ascii="David" w:cs="David" w:eastAsia="David" w:hAnsi="David"/>
          <w:i/>
          <w:iCs/>
          <w:sz w:val="20"/>
          <w:szCs w:val="20"/>
          <w:rtl w:val="false"/>
        </w:rPr>
        <w:t xml:space="preserve">The North American Review</w:t>
      </w:r>
      <w:r>
        <w:rPr>
          <w:rFonts w:ascii="David" w:cs="David" w:eastAsia="David" w:hAnsi="David"/>
          <w:sz w:val="20"/>
          <w:szCs w:val="20"/>
          <w:rtl w:val="false"/>
        </w:rPr>
        <w:t xml:space="preserve"> 169 (July 1899), pp. 1-8.</w:t>
      </w:r>
    </w:p>
  </w:footnote>
  <w:footnote w:id="2">
    <w:p>
      <w:pPr>
        <w:bidi w:val="false"/>
        <w:spacing w:after="40" w:line="240" w:lineRule="auto"/>
        <w:jc w:val="left"/>
      </w:pPr>
      <w:r>
        <w:rPr>
          <w:rStyle w:val="FootnoteReference"/>
        </w:rPr>
        <w:footnoteRef/>
      </w:r>
      <w:r>
        <w:rPr>
          <w:rFonts w:ascii="David" w:cs="David" w:eastAsia="David" w:hAnsi="David"/>
          <w:sz w:val="20"/>
          <w:szCs w:val="20"/>
        </w:rPr>
        <w:t xml:space="preserve"> </w:t>
      </w:r>
      <w:r>
        <w:rPr>
          <w:rFonts w:ascii="David" w:cs="David" w:eastAsia="David" w:hAnsi="David"/>
          <w:sz w:val="20"/>
          <w:szCs w:val="20"/>
          <w:rtl/>
        </w:rPr>
        <w:t xml:space="preserve">שלמה אבינרי, </w:t>
      </w:r>
      <w:r>
        <w:rPr>
          <w:rFonts w:ascii="David" w:cs="David" w:eastAsia="David" w:hAnsi="David"/>
          <w:b/>
          <w:bCs/>
          <w:i w:val="false"/>
          <w:iCs w:val="false"/>
          <w:sz w:val="20"/>
          <w:szCs w:val="20"/>
          <w:rtl/>
        </w:rPr>
        <w:t xml:space="preserve">הרצל</w:t>
      </w:r>
      <w:r>
        <w:rPr>
          <w:rFonts w:ascii="David" w:cs="David" w:eastAsia="David" w:hAnsi="David"/>
          <w:sz w:val="20"/>
          <w:szCs w:val="20"/>
          <w:rtl/>
        </w:rPr>
        <w:t xml:space="preserve"> (ירושלים: מרכז זלמן שזר, 2007), עמ' 84-108; Jacques Kornberg, </w:t>
      </w:r>
      <w:r>
        <w:rPr>
          <w:rFonts w:ascii="David" w:cs="David" w:eastAsia="David" w:hAnsi="David"/>
          <w:i/>
          <w:iCs/>
          <w:sz w:val="20"/>
          <w:szCs w:val="20"/>
          <w:rtl w:val="false"/>
        </w:rPr>
        <w:t xml:space="preserve">Theodor Herzl: From Assimilation to Zionism</w:t>
      </w:r>
      <w:r>
        <w:rPr>
          <w:rFonts w:ascii="David" w:cs="David" w:eastAsia="David" w:hAnsi="David"/>
          <w:sz w:val="20"/>
          <w:szCs w:val="20"/>
          <w:rtl w:val="false"/>
        </w:rPr>
        <w:t xml:space="preserve"> (Bloomington: Indiana University Press, 1993), pp. 183-202.</w:t>
      </w:r>
    </w:p>
  </w:footnote>
  <w:footnote w:id="3">
    <w:p>
      <w:pPr>
        <w:bidi w:val="false"/>
        <w:spacing w:after="40" w:line="240" w:lineRule="auto"/>
        <w:jc w:val="left"/>
      </w:pPr>
      <w:r>
        <w:rPr>
          <w:rStyle w:val="FootnoteReference"/>
        </w:rPr>
        <w:footnoteRef/>
      </w:r>
      <w:r>
        <w:rPr>
          <w:rFonts w:ascii="David" w:cs="David" w:eastAsia="David" w:hAnsi="David"/>
          <w:sz w:val="20"/>
          <w:szCs w:val="20"/>
        </w:rPr>
        <w:t xml:space="preserve"> </w:t>
      </w:r>
      <w:r>
        <w:rPr>
          <w:rFonts w:ascii="David" w:cs="David" w:eastAsia="David" w:hAnsi="David"/>
          <w:sz w:val="20"/>
          <w:szCs w:val="20"/>
          <w:rtl/>
        </w:rPr>
        <w:t xml:space="preserve">שמואל אטינגר, </w:t>
      </w:r>
      <w:r>
        <w:rPr>
          <w:rFonts w:ascii="David" w:cs="David" w:eastAsia="David" w:hAnsi="David"/>
          <w:b/>
          <w:bCs/>
          <w:i w:val="false"/>
          <w:iCs w:val="false"/>
          <w:sz w:val="20"/>
          <w:szCs w:val="20"/>
          <w:rtl/>
        </w:rPr>
        <w:t xml:space="preserve">האנטישמיות בעת החדשה: פרקי מחקר ועיון</w:t>
      </w:r>
      <w:r>
        <w:rPr>
          <w:rFonts w:ascii="David" w:cs="David" w:eastAsia="David" w:hAnsi="David"/>
          <w:sz w:val="20"/>
          <w:szCs w:val="20"/>
          <w:rtl/>
        </w:rPr>
        <w:t xml:space="preserve"> (תל אביב: מורשת וספרית פועלים, 1978), עמ' 1-28; David Engel, "Away from a Definition of Antisemitism: An Essay in the Semantics of Historical Description," in Jeremy Cohen and Moshe Rosman (eds.), </w:t>
      </w:r>
      <w:r>
        <w:rPr>
          <w:rFonts w:ascii="David" w:cs="David" w:eastAsia="David" w:hAnsi="David"/>
          <w:i/>
          <w:iCs/>
          <w:sz w:val="20"/>
          <w:szCs w:val="20"/>
          <w:rtl w:val="false"/>
        </w:rPr>
        <w:t xml:space="preserve">Rethinking European Jewish History</w:t>
      </w:r>
      <w:r>
        <w:rPr>
          <w:rFonts w:ascii="David" w:cs="David" w:eastAsia="David" w:hAnsi="David"/>
          <w:sz w:val="20"/>
          <w:szCs w:val="20"/>
          <w:rtl w:val="false"/>
        </w:rPr>
        <w:t xml:space="preserve"> (Oxford: Littman Library, 2009), pp. 30-53.</w:t>
      </w:r>
    </w:p>
  </w:footnote>
  <w:footnote w:id="4">
    <w:p>
      <w:pPr>
        <w:bidi w:val="false"/>
        <w:spacing w:after="40" w:line="240" w:lineRule="auto"/>
        <w:jc w:val="left"/>
      </w:pPr>
      <w:r>
        <w:rPr>
          <w:rStyle w:val="FootnoteReference"/>
        </w:rPr>
        <w:footnoteRef/>
      </w:r>
      <w:r>
        <w:rPr>
          <w:rFonts w:ascii="David" w:cs="David" w:eastAsia="David" w:hAnsi="David"/>
          <w:sz w:val="20"/>
          <w:szCs w:val="20"/>
        </w:rPr>
        <w:t xml:space="preserve"> </w:t>
      </w:r>
      <w:r>
        <w:rPr>
          <w:rFonts w:ascii="David" w:cs="David" w:eastAsia="David" w:hAnsi="David"/>
          <w:sz w:val="20"/>
          <w:szCs w:val="20"/>
          <w:rtl/>
        </w:rPr>
        <w:t xml:space="preserve">אבינרי, </w:t>
      </w:r>
      <w:r>
        <w:rPr>
          <w:rFonts w:ascii="David" w:cs="David" w:eastAsia="David" w:hAnsi="David"/>
          <w:b/>
          <w:bCs/>
          <w:i w:val="false"/>
          <w:iCs w:val="false"/>
          <w:sz w:val="20"/>
          <w:szCs w:val="20"/>
          <w:rtl/>
        </w:rPr>
        <w:t xml:space="preserve">הרצל</w:t>
      </w:r>
      <w:r>
        <w:rPr>
          <w:rFonts w:ascii="David" w:cs="David" w:eastAsia="David" w:hAnsi="David"/>
          <w:sz w:val="20"/>
          <w:szCs w:val="20"/>
          <w:rtl/>
        </w:rPr>
        <w:t xml:space="preserve">, עמ' 84-108; Kornberg, </w:t>
      </w:r>
      <w:r>
        <w:rPr>
          <w:rFonts w:ascii="David" w:cs="David" w:eastAsia="David" w:hAnsi="David"/>
          <w:i/>
          <w:iCs/>
          <w:sz w:val="20"/>
          <w:szCs w:val="20"/>
          <w:rtl w:val="false"/>
        </w:rPr>
        <w:t xml:space="preserve">Theodor Herzl</w:t>
      </w:r>
      <w:r>
        <w:rPr>
          <w:rFonts w:ascii="David" w:cs="David" w:eastAsia="David" w:hAnsi="David"/>
          <w:sz w:val="20"/>
          <w:szCs w:val="20"/>
          <w:rtl w:val="false"/>
        </w:rPr>
        <w:t xml:space="preserve">, pp. 183-202; Derek Penslar, </w:t>
      </w:r>
      <w:r>
        <w:rPr>
          <w:rFonts w:ascii="David" w:cs="David" w:eastAsia="David" w:hAnsi="David"/>
          <w:i/>
          <w:iCs/>
          <w:sz w:val="20"/>
          <w:szCs w:val="20"/>
          <w:rtl w:val="false"/>
        </w:rPr>
        <w:t xml:space="preserve">Theodor Herzl: The Charismatic Leader</w:t>
      </w:r>
      <w:r>
        <w:rPr>
          <w:rFonts w:ascii="David" w:cs="David" w:eastAsia="David" w:hAnsi="David"/>
          <w:sz w:val="20"/>
          <w:szCs w:val="20"/>
          <w:rtl w:val="false"/>
        </w:rPr>
        <w:t xml:space="preserve"> (New Haven: Yale University Press, 2020), pp. 49-70.</w:t>
      </w:r>
    </w:p>
  </w:footnote>
  <w:footnote w:id="5">
    <w:p>
      <w:pPr>
        <w:bidi w:val="false"/>
        <w:spacing w:after="40" w:line="240" w:lineRule="auto"/>
        <w:jc w:val="left"/>
      </w:pPr>
      <w:r>
        <w:rPr>
          <w:rStyle w:val="FootnoteReference"/>
        </w:rPr>
        <w:footnoteRef/>
      </w:r>
      <w:r>
        <w:rPr>
          <w:rFonts w:ascii="David" w:cs="David" w:eastAsia="David" w:hAnsi="David"/>
          <w:sz w:val="20"/>
          <w:szCs w:val="20"/>
        </w:rPr>
        <w:t xml:space="preserve"> </w:t>
      </w:r>
      <w:r>
        <w:rPr>
          <w:rFonts w:ascii="David" w:cs="David" w:eastAsia="David" w:hAnsi="David"/>
          <w:sz w:val="20"/>
          <w:szCs w:val="20"/>
          <w:rtl/>
        </w:rPr>
        <w:t xml:space="preserve">אבינרי, </w:t>
      </w:r>
      <w:r>
        <w:rPr>
          <w:rFonts w:ascii="David" w:cs="David" w:eastAsia="David" w:hAnsi="David"/>
          <w:b/>
          <w:bCs/>
          <w:i w:val="false"/>
          <w:iCs w:val="false"/>
          <w:sz w:val="20"/>
          <w:szCs w:val="20"/>
          <w:rtl/>
        </w:rPr>
        <w:t xml:space="preserve">הרצל</w:t>
      </w:r>
      <w:r>
        <w:rPr>
          <w:rFonts w:ascii="David" w:cs="David" w:eastAsia="David" w:hAnsi="David"/>
          <w:sz w:val="20"/>
          <w:szCs w:val="20"/>
          <w:rtl/>
        </w:rPr>
        <w:t xml:space="preserve">, עמ' 15-33; Alex Bein, </w:t>
      </w:r>
      <w:r>
        <w:rPr>
          <w:rFonts w:ascii="David" w:cs="David" w:eastAsia="David" w:hAnsi="David"/>
          <w:i/>
          <w:iCs/>
          <w:sz w:val="20"/>
          <w:szCs w:val="20"/>
          <w:rtl w:val="false"/>
        </w:rPr>
        <w:t xml:space="preserve">Theodore Herzl: A Biography</w:t>
      </w:r>
      <w:r>
        <w:rPr>
          <w:rFonts w:ascii="David" w:cs="David" w:eastAsia="David" w:hAnsi="David"/>
          <w:sz w:val="20"/>
          <w:szCs w:val="20"/>
          <w:rtl w:val="false"/>
        </w:rPr>
        <w:t xml:space="preserve">, trans. Maurice Samuel (Philadelphia: Jewish Publication Society, 1941), pp. 1-40.</w:t>
      </w:r>
    </w:p>
  </w:footnote>
  <w:footnote w:id="6">
    <w:p>
      <w:pPr>
        <w:bidi w:val="false"/>
        <w:spacing w:after="40" w:line="240" w:lineRule="auto"/>
        <w:jc w:val="left"/>
      </w:pPr>
      <w:r>
        <w:rPr>
          <w:rStyle w:val="FootnoteReference"/>
        </w:rPr>
        <w:footnoteRef/>
      </w:r>
      <w:r>
        <w:rPr>
          <w:rFonts w:ascii="David" w:cs="David" w:eastAsia="David" w:hAnsi="David"/>
          <w:sz w:val="20"/>
          <w:szCs w:val="20"/>
        </w:rPr>
        <w:t xml:space="preserve"> </w:t>
      </w:r>
      <w:r>
        <w:rPr>
          <w:rFonts w:ascii="David" w:cs="David" w:eastAsia="David" w:hAnsi="David"/>
          <w:sz w:val="20"/>
          <w:szCs w:val="20"/>
          <w:rtl w:val="false"/>
        </w:rPr>
        <w:t xml:space="preserve">Jacques Kornberg, "Theodor Herzl: A Reevaluation," </w:t>
      </w:r>
      <w:r>
        <w:rPr>
          <w:rFonts w:ascii="David" w:cs="David" w:eastAsia="David" w:hAnsi="David"/>
          <w:i/>
          <w:iCs/>
          <w:sz w:val="20"/>
          <w:szCs w:val="20"/>
          <w:rtl w:val="false"/>
        </w:rPr>
        <w:t xml:space="preserve">Journal of Modern History</w:t>
      </w:r>
      <w:r>
        <w:rPr>
          <w:rFonts w:ascii="David" w:cs="David" w:eastAsia="David" w:hAnsi="David"/>
          <w:sz w:val="20"/>
          <w:szCs w:val="20"/>
          <w:rtl w:val="false"/>
        </w:rPr>
        <w:t xml:space="preserve"> 52 (1980), pp. 226-252; Kornberg, </w:t>
      </w:r>
      <w:r>
        <w:rPr>
          <w:rFonts w:ascii="David" w:cs="David" w:eastAsia="David" w:hAnsi="David"/>
          <w:i/>
          <w:iCs/>
          <w:sz w:val="20"/>
          <w:szCs w:val="20"/>
          <w:rtl w:val="false"/>
        </w:rPr>
        <w:t xml:space="preserve">Theodor Herzl</w:t>
      </w:r>
      <w:r>
        <w:rPr>
          <w:rFonts w:ascii="David" w:cs="David" w:eastAsia="David" w:hAnsi="David"/>
          <w:sz w:val="20"/>
          <w:szCs w:val="20"/>
          <w:rtl w:val="false"/>
        </w:rPr>
        <w:t xml:space="preserve">, pp. 1-41.</w:t>
      </w:r>
    </w:p>
  </w:footnote>
  <w:footnote w:id="7">
    <w:p>
      <w:pPr>
        <w:bidi w:val="false"/>
        <w:spacing w:after="40" w:line="240" w:lineRule="auto"/>
        <w:jc w:val="left"/>
      </w:pPr>
      <w:r>
        <w:rPr>
          <w:rStyle w:val="FootnoteReference"/>
        </w:rPr>
        <w:footnoteRef/>
      </w:r>
      <w:r>
        <w:rPr>
          <w:rFonts w:ascii="David" w:cs="David" w:eastAsia="David" w:hAnsi="David"/>
          <w:sz w:val="20"/>
          <w:szCs w:val="20"/>
        </w:rPr>
        <w:t xml:space="preserve"> </w:t>
      </w:r>
      <w:r>
        <w:rPr>
          <w:rFonts w:ascii="David" w:cs="David" w:eastAsia="David" w:hAnsi="David"/>
          <w:sz w:val="20"/>
          <w:szCs w:val="20"/>
          <w:rtl/>
        </w:rPr>
        <w:t xml:space="preserve">אבינרי, </w:t>
      </w:r>
      <w:r>
        <w:rPr>
          <w:rFonts w:ascii="David" w:cs="David" w:eastAsia="David" w:hAnsi="David"/>
          <w:b/>
          <w:bCs/>
          <w:i w:val="false"/>
          <w:iCs w:val="false"/>
          <w:sz w:val="20"/>
          <w:szCs w:val="20"/>
          <w:rtl/>
        </w:rPr>
        <w:t xml:space="preserve">הרצל</w:t>
      </w:r>
      <w:r>
        <w:rPr>
          <w:rFonts w:ascii="David" w:cs="David" w:eastAsia="David" w:hAnsi="David"/>
          <w:sz w:val="20"/>
          <w:szCs w:val="20"/>
          <w:rtl/>
        </w:rPr>
        <w:t xml:space="preserve">, עמ' 34-56; Amos Elon, </w:t>
      </w:r>
      <w:r>
        <w:rPr>
          <w:rFonts w:ascii="David" w:cs="David" w:eastAsia="David" w:hAnsi="David"/>
          <w:i/>
          <w:iCs/>
          <w:sz w:val="20"/>
          <w:szCs w:val="20"/>
          <w:rtl w:val="false"/>
        </w:rPr>
        <w:t xml:space="preserve">Herzl</w:t>
      </w:r>
      <w:r>
        <w:rPr>
          <w:rFonts w:ascii="David" w:cs="David" w:eastAsia="David" w:hAnsi="David"/>
          <w:sz w:val="20"/>
          <w:szCs w:val="20"/>
          <w:rtl w:val="false"/>
        </w:rPr>
        <w:t xml:space="preserve"> (New York: Holt, Rinehart and Winston, 1975), pp. 55-66.</w:t>
      </w:r>
    </w:p>
  </w:footnote>
  <w:footnote w:id="8">
    <w:p>
      <w:pPr>
        <w:bidi w:val="false"/>
        <w:spacing w:after="40" w:line="240" w:lineRule="auto"/>
        <w:jc w:val="left"/>
      </w:pPr>
      <w:r>
        <w:rPr>
          <w:rStyle w:val="FootnoteReference"/>
        </w:rPr>
        <w:footnoteRef/>
      </w:r>
      <w:r>
        <w:rPr>
          <w:rFonts w:ascii="David" w:cs="David" w:eastAsia="David" w:hAnsi="David"/>
          <w:sz w:val="20"/>
          <w:szCs w:val="20"/>
        </w:rPr>
        <w:t xml:space="preserve"> </w:t>
      </w:r>
      <w:r>
        <w:rPr>
          <w:rFonts w:ascii="David" w:cs="David" w:eastAsia="David" w:hAnsi="David"/>
          <w:sz w:val="20"/>
          <w:szCs w:val="20"/>
          <w:rtl/>
        </w:rPr>
        <w:t xml:space="preserve">אבינרי, </w:t>
      </w:r>
      <w:r>
        <w:rPr>
          <w:rFonts w:ascii="David" w:cs="David" w:eastAsia="David" w:hAnsi="David"/>
          <w:b/>
          <w:bCs/>
          <w:i w:val="false"/>
          <w:iCs w:val="false"/>
          <w:sz w:val="20"/>
          <w:szCs w:val="20"/>
          <w:rtl/>
        </w:rPr>
        <w:t xml:space="preserve">הרצל</w:t>
      </w:r>
      <w:r>
        <w:rPr>
          <w:rFonts w:ascii="David" w:cs="David" w:eastAsia="David" w:hAnsi="David"/>
          <w:sz w:val="20"/>
          <w:szCs w:val="20"/>
          <w:rtl/>
        </w:rPr>
        <w:t xml:space="preserve">, עמ' 42-56; Steven Beller, </w:t>
      </w:r>
      <w:r>
        <w:rPr>
          <w:rFonts w:ascii="David" w:cs="David" w:eastAsia="David" w:hAnsi="David"/>
          <w:i/>
          <w:iCs/>
          <w:sz w:val="20"/>
          <w:szCs w:val="20"/>
          <w:rtl w:val="false"/>
        </w:rPr>
        <w:t xml:space="preserve">Herzl</w:t>
      </w:r>
      <w:r>
        <w:rPr>
          <w:rFonts w:ascii="David" w:cs="David" w:eastAsia="David" w:hAnsi="David"/>
          <w:sz w:val="20"/>
          <w:szCs w:val="20"/>
          <w:rtl w:val="false"/>
        </w:rPr>
        <w:t xml:space="preserve"> (London: Peter Halban, 1991), pp. 9-19.</w:t>
      </w:r>
    </w:p>
  </w:footnote>
  <w:footnote w:id="9">
    <w:p>
      <w:pPr>
        <w:bidi w:val="false"/>
        <w:spacing w:after="40" w:line="240" w:lineRule="auto"/>
        <w:jc w:val="left"/>
      </w:pPr>
      <w:r>
        <w:rPr>
          <w:rStyle w:val="FootnoteReference"/>
        </w:rPr>
        <w:footnoteRef/>
      </w:r>
      <w:r>
        <w:rPr>
          <w:rFonts w:ascii="David" w:cs="David" w:eastAsia="David" w:hAnsi="David"/>
          <w:sz w:val="20"/>
          <w:szCs w:val="20"/>
        </w:rPr>
        <w:t xml:space="preserve"> </w:t>
      </w:r>
      <w:r>
        <w:rPr>
          <w:rFonts w:ascii="David" w:cs="David" w:eastAsia="David" w:hAnsi="David"/>
          <w:sz w:val="20"/>
          <w:szCs w:val="20"/>
          <w:rtl w:val="false"/>
        </w:rPr>
        <w:t xml:space="preserve">Elon, </w:t>
      </w:r>
      <w:r>
        <w:rPr>
          <w:rFonts w:ascii="David" w:cs="David" w:eastAsia="David" w:hAnsi="David"/>
          <w:i/>
          <w:iCs/>
          <w:sz w:val="20"/>
          <w:szCs w:val="20"/>
          <w:rtl w:val="false"/>
        </w:rPr>
        <w:t xml:space="preserve">Herzl</w:t>
      </w:r>
      <w:r>
        <w:rPr>
          <w:rFonts w:ascii="David" w:cs="David" w:eastAsia="David" w:hAnsi="David"/>
          <w:sz w:val="20"/>
          <w:szCs w:val="20"/>
          <w:rtl w:val="false"/>
        </w:rPr>
        <w:t xml:space="preserve">, pp. 87-113; Penslar, </w:t>
      </w:r>
      <w:r>
        <w:rPr>
          <w:rFonts w:ascii="David" w:cs="David" w:eastAsia="David" w:hAnsi="David"/>
          <w:i/>
          <w:iCs/>
          <w:sz w:val="20"/>
          <w:szCs w:val="20"/>
          <w:rtl w:val="false"/>
        </w:rPr>
        <w:t xml:space="preserve">Theodor Herzl</w:t>
      </w:r>
      <w:r>
        <w:rPr>
          <w:rFonts w:ascii="David" w:cs="David" w:eastAsia="David" w:hAnsi="David"/>
          <w:sz w:val="20"/>
          <w:szCs w:val="20"/>
          <w:rtl w:val="false"/>
        </w:rPr>
        <w:t xml:space="preserve">, pp. 31-48.</w:t>
      </w:r>
    </w:p>
  </w:footnote>
  <w:footnote w:id="10">
    <w:p>
      <w:pPr>
        <w:bidi w:val="false"/>
        <w:spacing w:after="40" w:line="240" w:lineRule="auto"/>
        <w:jc w:val="left"/>
      </w:pPr>
      <w:r>
        <w:rPr>
          <w:rStyle w:val="FootnoteReference"/>
        </w:rPr>
        <w:footnoteRef/>
      </w:r>
      <w:r>
        <w:rPr>
          <w:rFonts w:ascii="David" w:cs="David" w:eastAsia="David" w:hAnsi="David"/>
          <w:sz w:val="20"/>
          <w:szCs w:val="20"/>
        </w:rPr>
        <w:t xml:space="preserve"> </w:t>
      </w:r>
      <w:r>
        <w:rPr>
          <w:rFonts w:ascii="David" w:cs="David" w:eastAsia="David" w:hAnsi="David"/>
          <w:sz w:val="20"/>
          <w:szCs w:val="20"/>
          <w:rtl w:val="false"/>
        </w:rPr>
        <w:t xml:space="preserve">Kornberg, </w:t>
      </w:r>
      <w:r>
        <w:rPr>
          <w:rFonts w:ascii="David" w:cs="David" w:eastAsia="David" w:hAnsi="David"/>
          <w:i/>
          <w:iCs/>
          <w:sz w:val="20"/>
          <w:szCs w:val="20"/>
          <w:rtl w:val="false"/>
        </w:rPr>
        <w:t xml:space="preserve">Theodor Herzl</w:t>
      </w:r>
      <w:r>
        <w:rPr>
          <w:rFonts w:ascii="David" w:cs="David" w:eastAsia="David" w:hAnsi="David"/>
          <w:sz w:val="20"/>
          <w:szCs w:val="20"/>
          <w:rtl w:val="false"/>
        </w:rPr>
        <w:t xml:space="preserve">, pp. 134-158; Ernst Pawel, </w:t>
      </w:r>
      <w:r>
        <w:rPr>
          <w:rFonts w:ascii="David" w:cs="David" w:eastAsia="David" w:hAnsi="David"/>
          <w:i/>
          <w:iCs/>
          <w:sz w:val="20"/>
          <w:szCs w:val="20"/>
          <w:rtl w:val="false"/>
        </w:rPr>
        <w:t xml:space="preserve">The Labyrinth of Exile: A Life of Theodor Herzl</w:t>
      </w:r>
      <w:r>
        <w:rPr>
          <w:rFonts w:ascii="David" w:cs="David" w:eastAsia="David" w:hAnsi="David"/>
          <w:sz w:val="20"/>
          <w:szCs w:val="20"/>
          <w:rtl w:val="false"/>
        </w:rPr>
        <w:t xml:space="preserve"> (New York: Farrar, Straus and Giroux, 1989), pp. 189-240.</w:t>
      </w:r>
    </w:p>
  </w:footnote>
  <w:footnote w:id="11">
    <w:p>
      <w:pPr>
        <w:bidi w:val="false"/>
        <w:spacing w:after="40" w:line="240" w:lineRule="auto"/>
        <w:jc w:val="left"/>
      </w:pPr>
      <w:r>
        <w:rPr>
          <w:rStyle w:val="FootnoteReference"/>
        </w:rPr>
        <w:footnoteRef/>
      </w:r>
      <w:r>
        <w:rPr>
          <w:rFonts w:ascii="David" w:cs="David" w:eastAsia="David" w:hAnsi="David"/>
          <w:sz w:val="20"/>
          <w:szCs w:val="20"/>
        </w:rPr>
        <w:t xml:space="preserve"> </w:t>
      </w:r>
      <w:r>
        <w:rPr>
          <w:rFonts w:ascii="David" w:cs="David" w:eastAsia="David" w:hAnsi="David"/>
          <w:sz w:val="20"/>
          <w:szCs w:val="20"/>
          <w:rtl/>
        </w:rPr>
        <w:t xml:space="preserve">יעקב כ"ץ, </w:t>
      </w:r>
      <w:r>
        <w:rPr>
          <w:rFonts w:ascii="David" w:cs="David" w:eastAsia="David" w:hAnsi="David"/>
          <w:b/>
          <w:bCs/>
          <w:i w:val="false"/>
          <w:iCs w:val="false"/>
          <w:sz w:val="20"/>
          <w:szCs w:val="20"/>
          <w:rtl/>
        </w:rPr>
        <w:t xml:space="preserve">שנאת ישראל: משנאת הדת לשלילת הגזע</w:t>
      </w:r>
      <w:r>
        <w:rPr>
          <w:rFonts w:ascii="David" w:cs="David" w:eastAsia="David" w:hAnsi="David"/>
          <w:sz w:val="20"/>
          <w:szCs w:val="20"/>
          <w:rtl/>
        </w:rPr>
        <w:t xml:space="preserve"> (תל אביב: עם עובד, 1979), עמ' 9-17, 245-260; Peter Pulzer, </w:t>
      </w:r>
      <w:r>
        <w:rPr>
          <w:rFonts w:ascii="David" w:cs="David" w:eastAsia="David" w:hAnsi="David"/>
          <w:i/>
          <w:iCs/>
          <w:sz w:val="20"/>
          <w:szCs w:val="20"/>
          <w:rtl w:val="false"/>
        </w:rPr>
        <w:t xml:space="preserve">The Rise of Political Anti-Semitism in Germany and Austria</w:t>
      </w:r>
      <w:r>
        <w:rPr>
          <w:rFonts w:ascii="David" w:cs="David" w:eastAsia="David" w:hAnsi="David"/>
          <w:sz w:val="20"/>
          <w:szCs w:val="20"/>
          <w:rtl w:val="false"/>
        </w:rPr>
        <w:t xml:space="preserve">, rev. ed. (Cambridge, MA: Harvard University Press, 1988), pp. 47-57.</w:t>
      </w:r>
    </w:p>
  </w:footnote>
  <w:footnote w:id="12">
    <w:p>
      <w:pPr>
        <w:bidi/>
        <w:spacing w:after="40" w:line="240" w:lineRule="auto"/>
        <w:jc w:val="both"/>
      </w:pPr>
      <w:r>
        <w:rPr>
          <w:rStyle w:val="FootnoteReference"/>
        </w:rPr>
        <w:footnoteRef/>
      </w:r>
      <w:r>
        <w:rPr>
          <w:rFonts w:ascii="David" w:cs="David" w:eastAsia="David" w:hAnsi="David"/>
          <w:sz w:val="20"/>
          <w:szCs w:val="20"/>
        </w:rPr>
        <w:t xml:space="preserve"> </w:t>
      </w:r>
      <w:r>
        <w:rPr>
          <w:rFonts w:ascii="David" w:cs="David" w:eastAsia="David" w:hAnsi="David"/>
          <w:sz w:val="20"/>
          <w:szCs w:val="20"/>
          <w:rtl/>
        </w:rPr>
        <w:t xml:space="preserve">כ"ץ, </w:t>
      </w:r>
      <w:r>
        <w:rPr>
          <w:rFonts w:ascii="David" w:cs="David" w:eastAsia="David" w:hAnsi="David"/>
          <w:b/>
          <w:bCs/>
          <w:i w:val="false"/>
          <w:iCs w:val="false"/>
          <w:sz w:val="20"/>
          <w:szCs w:val="20"/>
          <w:rtl/>
        </w:rPr>
        <w:t xml:space="preserve">שנאת ישראל</w:t>
      </w:r>
      <w:r>
        <w:rPr>
          <w:rFonts w:ascii="David" w:cs="David" w:eastAsia="David" w:hAnsi="David"/>
          <w:sz w:val="20"/>
          <w:szCs w:val="20"/>
          <w:rtl/>
        </w:rPr>
        <w:t xml:space="preserve">, עמ' 227-244.</w:t>
      </w:r>
    </w:p>
  </w:footnote>
  <w:footnote w:id="13">
    <w:p>
      <w:pPr>
        <w:bidi/>
        <w:spacing w:after="40" w:line="240" w:lineRule="auto"/>
        <w:jc w:val="both"/>
      </w:pPr>
      <w:r>
        <w:rPr>
          <w:rStyle w:val="FootnoteReference"/>
        </w:rPr>
        <w:footnoteRef/>
      </w:r>
      <w:r>
        <w:rPr>
          <w:rFonts w:ascii="David" w:cs="David" w:eastAsia="David" w:hAnsi="David"/>
          <w:sz w:val="20"/>
          <w:szCs w:val="20"/>
        </w:rPr>
        <w:t xml:space="preserve"> </w:t>
      </w:r>
      <w:r>
        <w:rPr>
          <w:rFonts w:ascii="David" w:cs="David" w:eastAsia="David" w:hAnsi="David"/>
          <w:sz w:val="20"/>
          <w:szCs w:val="20"/>
          <w:rtl/>
        </w:rPr>
        <w:t xml:space="preserve">אטינגר, </w:t>
      </w:r>
      <w:r>
        <w:rPr>
          <w:rFonts w:ascii="David" w:cs="David" w:eastAsia="David" w:hAnsi="David"/>
          <w:b/>
          <w:bCs/>
          <w:i w:val="false"/>
          <w:iCs w:val="false"/>
          <w:sz w:val="20"/>
          <w:szCs w:val="20"/>
          <w:rtl/>
        </w:rPr>
        <w:t xml:space="preserve">האנטישמיות בעת החדשה</w:t>
      </w:r>
      <w:r>
        <w:rPr>
          <w:rFonts w:ascii="David" w:cs="David" w:eastAsia="David" w:hAnsi="David"/>
          <w:sz w:val="20"/>
          <w:szCs w:val="20"/>
          <w:rtl/>
        </w:rPr>
        <w:t xml:space="preserve">, עמ' 1-46.</w:t>
      </w:r>
    </w:p>
  </w:footnote>
  <w:footnote w:id="14">
    <w:p>
      <w:pPr>
        <w:bidi/>
        <w:spacing w:after="40" w:line="240" w:lineRule="auto"/>
        <w:jc w:val="both"/>
      </w:pPr>
      <w:r>
        <w:rPr>
          <w:rStyle w:val="FootnoteReference"/>
        </w:rPr>
        <w:footnoteRef/>
      </w:r>
      <w:r>
        <w:rPr>
          <w:rFonts w:ascii="David" w:cs="David" w:eastAsia="David" w:hAnsi="David"/>
          <w:sz w:val="20"/>
          <w:szCs w:val="20"/>
        </w:rPr>
        <w:t xml:space="preserve"> </w:t>
      </w:r>
      <w:r>
        <w:rPr>
          <w:rFonts w:ascii="David" w:cs="David" w:eastAsia="David" w:hAnsi="David"/>
          <w:sz w:val="20"/>
          <w:szCs w:val="20"/>
          <w:rtl/>
        </w:rPr>
        <w:t xml:space="preserve">דוד אנגל, "גלגולי המושג 'אנטישמיות' והשימוש בו כקטגוריה כוללת", בתוך: גיא מירון וסקוט אורי (עורכים), </w:t>
      </w:r>
      <w:r>
        <w:rPr>
          <w:rFonts w:ascii="David" w:cs="David" w:eastAsia="David" w:hAnsi="David"/>
          <w:b/>
          <w:bCs/>
          <w:i w:val="false"/>
          <w:iCs w:val="false"/>
          <w:sz w:val="20"/>
          <w:szCs w:val="20"/>
          <w:rtl/>
        </w:rPr>
        <w:t xml:space="preserve">אנטישמיות בין מושג היסטורי לשיח ציבורי</w:t>
      </w:r>
      <w:r>
        <w:rPr>
          <w:rFonts w:ascii="David" w:cs="David" w:eastAsia="David" w:hAnsi="David"/>
          <w:sz w:val="20"/>
          <w:szCs w:val="20"/>
          <w:rtl/>
        </w:rPr>
        <w:t xml:space="preserve">, ציון פה (תש"ף), עמ' 13-55; סוזנה השל, "לקראת היסטוריוגרפיה ארוטית: חקר הממדים החושיים והרגשיים של האנטישמיות", בתוך: גיא מירון וסקוט אורי (עורכים), </w:t>
      </w:r>
      <w:r>
        <w:rPr>
          <w:rFonts w:ascii="David" w:cs="David" w:eastAsia="David" w:hAnsi="David"/>
          <w:b/>
          <w:bCs/>
          <w:i w:val="false"/>
          <w:iCs w:val="false"/>
          <w:sz w:val="20"/>
          <w:szCs w:val="20"/>
          <w:rtl/>
        </w:rPr>
        <w:t xml:space="preserve">אנטישמיות בין מושג היסטורי לשיח ציבורי</w:t>
      </w:r>
      <w:r>
        <w:rPr>
          <w:rFonts w:ascii="David" w:cs="David" w:eastAsia="David" w:hAnsi="David"/>
          <w:sz w:val="20"/>
          <w:szCs w:val="20"/>
          <w:rtl/>
        </w:rPr>
        <w:t xml:space="preserve">, ציון פה (תש"ף), עמ' 5-30; Engel, "Away from a Definition of Antisemitism," pp. 30-53.</w:t>
      </w:r>
    </w:p>
  </w:footnote>
  <w:footnote w:id="15">
    <w:p>
      <w:pPr>
        <w:bidi/>
        <w:spacing w:after="40" w:line="240" w:lineRule="auto"/>
        <w:jc w:val="both"/>
      </w:pPr>
      <w:r>
        <w:rPr>
          <w:rStyle w:val="FootnoteReference"/>
        </w:rPr>
        <w:footnoteRef/>
      </w:r>
      <w:r>
        <w:rPr>
          <w:rFonts w:ascii="David" w:cs="David" w:eastAsia="David" w:hAnsi="David"/>
          <w:sz w:val="20"/>
          <w:szCs w:val="20"/>
        </w:rPr>
        <w:t xml:space="preserve"> </w:t>
      </w:r>
      <w:r>
        <w:rPr>
          <w:rFonts w:ascii="David" w:cs="David" w:eastAsia="David" w:hAnsi="David"/>
          <w:sz w:val="20"/>
          <w:szCs w:val="20"/>
          <w:rtl/>
        </w:rPr>
        <w:t xml:space="preserve">דיוויד פלדמן, "אנטישמיות ואסלאמופוביה", תרגם דורון מגן, בתוך: גיא מירון וסקוט אורי (עורכים), </w:t>
      </w:r>
      <w:r>
        <w:rPr>
          <w:rFonts w:ascii="David" w:cs="David" w:eastAsia="David" w:hAnsi="David"/>
          <w:b/>
          <w:bCs/>
          <w:i w:val="false"/>
          <w:iCs w:val="false"/>
          <w:sz w:val="20"/>
          <w:szCs w:val="20"/>
          <w:rtl/>
        </w:rPr>
        <w:t xml:space="preserve">אנטישמיות בין מושג היסטורי לשיח ציבורי</w:t>
      </w:r>
      <w:r>
        <w:rPr>
          <w:rFonts w:ascii="David" w:cs="David" w:eastAsia="David" w:hAnsi="David"/>
          <w:sz w:val="20"/>
          <w:szCs w:val="20"/>
          <w:rtl/>
        </w:rPr>
        <w:t xml:space="preserve">, ציון פה (תש"ף), עמ' 295-296.</w:t>
      </w:r>
    </w:p>
  </w:footnote>
  <w:footnote w:id="16">
    <w:p>
      <w:pPr>
        <w:bidi/>
        <w:spacing w:after="40" w:line="240" w:lineRule="auto"/>
        <w:jc w:val="both"/>
      </w:pPr>
      <w:r>
        <w:rPr>
          <w:rStyle w:val="FootnoteReference"/>
        </w:rPr>
        <w:footnoteRef/>
      </w:r>
      <w:r>
        <w:rPr>
          <w:rFonts w:ascii="David" w:cs="David" w:eastAsia="David" w:hAnsi="David"/>
          <w:sz w:val="20"/>
          <w:szCs w:val="20"/>
        </w:rPr>
        <w:t xml:space="preserve"> </w:t>
      </w:r>
      <w:r>
        <w:rPr>
          <w:rFonts w:ascii="David" w:cs="David" w:eastAsia="David" w:hAnsi="David"/>
          <w:sz w:val="20"/>
          <w:szCs w:val="20"/>
          <w:rtl/>
        </w:rPr>
        <w:t xml:space="preserve">צפריר ברזלי, "המושג 'אנטישמיות' כקטגוריה לחקר ההיסטוריה של היהודים בימי הביניים", בתוך: גיא מירון וסקוט אורי (עורכים), </w:t>
      </w:r>
      <w:r>
        <w:rPr>
          <w:rFonts w:ascii="David" w:cs="David" w:eastAsia="David" w:hAnsi="David"/>
          <w:b/>
          <w:bCs/>
          <w:i w:val="false"/>
          <w:iCs w:val="false"/>
          <w:sz w:val="20"/>
          <w:szCs w:val="20"/>
          <w:rtl/>
        </w:rPr>
        <w:t xml:space="preserve">אנטישמיות בין מושג היסטורי לשיח ציבורי</w:t>
      </w:r>
      <w:r>
        <w:rPr>
          <w:rFonts w:ascii="David" w:cs="David" w:eastAsia="David" w:hAnsi="David"/>
          <w:sz w:val="20"/>
          <w:szCs w:val="20"/>
          <w:rtl/>
        </w:rPr>
        <w:t xml:space="preserve">, ציון פה (תש"ף), עמ' 195-196, 206-207.</w:t>
      </w:r>
    </w:p>
  </w:footnote>
  <w:footnote w:id="17">
    <w:p>
      <w:pPr>
        <w:bidi/>
        <w:spacing w:after="40" w:line="240" w:lineRule="auto"/>
        <w:jc w:val="both"/>
      </w:pPr>
      <w:r>
        <w:rPr>
          <w:rStyle w:val="FootnoteReference"/>
        </w:rPr>
        <w:footnoteRef/>
      </w:r>
      <w:r>
        <w:rPr>
          <w:rFonts w:ascii="David" w:cs="David" w:eastAsia="David" w:hAnsi="David"/>
          <w:sz w:val="20"/>
          <w:szCs w:val="20"/>
        </w:rPr>
        <w:t xml:space="preserve"> </w:t>
      </w:r>
      <w:r>
        <w:rPr>
          <w:rFonts w:ascii="David" w:cs="David" w:eastAsia="David" w:hAnsi="David"/>
          <w:sz w:val="20"/>
          <w:szCs w:val="20"/>
          <w:rtl/>
        </w:rPr>
        <w:t xml:space="preserve">אנגל, "גלגולי המושג 'אנטישמיות'", עמ' 13-55; ברזלי, "המושג 'אנטישמיות' כקטגוריה", עמ' 206-207.</w:t>
      </w:r>
    </w:p>
  </w:footnote>
  <w:footnote w:id="18">
    <w:p>
      <w:pPr>
        <w:bidi w:val="false"/>
        <w:spacing w:after="40" w:line="240" w:lineRule="auto"/>
        <w:jc w:val="left"/>
      </w:pPr>
      <w:r>
        <w:rPr>
          <w:rStyle w:val="FootnoteReference"/>
        </w:rPr>
        <w:footnoteRef/>
      </w:r>
      <w:r>
        <w:rPr>
          <w:rFonts w:ascii="David" w:cs="David" w:eastAsia="David" w:hAnsi="David"/>
          <w:sz w:val="20"/>
          <w:szCs w:val="20"/>
        </w:rPr>
        <w:t xml:space="preserve"> </w:t>
      </w:r>
      <w:r>
        <w:rPr>
          <w:rFonts w:ascii="David" w:cs="David" w:eastAsia="David" w:hAnsi="David"/>
          <w:sz w:val="20"/>
          <w:szCs w:val="20"/>
          <w:rtl/>
        </w:rPr>
        <w:t xml:space="preserve">כ"ץ, </w:t>
      </w:r>
      <w:r>
        <w:rPr>
          <w:rFonts w:ascii="David" w:cs="David" w:eastAsia="David" w:hAnsi="David"/>
          <w:b/>
          <w:bCs/>
          <w:i w:val="false"/>
          <w:iCs w:val="false"/>
          <w:sz w:val="20"/>
          <w:szCs w:val="20"/>
          <w:rtl/>
        </w:rPr>
        <w:t xml:space="preserve">שנאת ישראל</w:t>
      </w:r>
      <w:r>
        <w:rPr>
          <w:rFonts w:ascii="David" w:cs="David" w:eastAsia="David" w:hAnsi="David"/>
          <w:sz w:val="20"/>
          <w:szCs w:val="20"/>
          <w:rtl/>
        </w:rPr>
        <w:t xml:space="preserve">, עמ' 261-289; Pulzer, </w:t>
      </w:r>
      <w:r>
        <w:rPr>
          <w:rFonts w:ascii="David" w:cs="David" w:eastAsia="David" w:hAnsi="David"/>
          <w:i/>
          <w:iCs/>
          <w:sz w:val="20"/>
          <w:szCs w:val="20"/>
          <w:rtl w:val="false"/>
        </w:rPr>
        <w:t xml:space="preserve">The Rise of Political Anti-Semitism</w:t>
      </w:r>
      <w:r>
        <w:rPr>
          <w:rFonts w:ascii="David" w:cs="David" w:eastAsia="David" w:hAnsi="David"/>
          <w:sz w:val="20"/>
          <w:szCs w:val="20"/>
          <w:rtl w:val="false"/>
        </w:rPr>
        <w:t xml:space="preserve">, pp. 88-105.</w:t>
      </w:r>
    </w:p>
  </w:footnote>
  <w:footnote w:id="19">
    <w:p>
      <w:pPr>
        <w:bidi w:val="false"/>
        <w:spacing w:after="40" w:line="240" w:lineRule="auto"/>
        <w:jc w:val="left"/>
      </w:pPr>
      <w:r>
        <w:rPr>
          <w:rStyle w:val="FootnoteReference"/>
        </w:rPr>
        <w:footnoteRef/>
      </w:r>
      <w:r>
        <w:rPr>
          <w:rFonts w:ascii="David" w:cs="David" w:eastAsia="David" w:hAnsi="David"/>
          <w:sz w:val="20"/>
          <w:szCs w:val="20"/>
        </w:rPr>
        <w:t xml:space="preserve"> </w:t>
      </w:r>
      <w:r>
        <w:rPr>
          <w:rFonts w:ascii="David" w:cs="David" w:eastAsia="David" w:hAnsi="David"/>
          <w:sz w:val="20"/>
          <w:szCs w:val="20"/>
          <w:rtl/>
        </w:rPr>
        <w:t xml:space="preserve">כ"ץ, </w:t>
      </w:r>
      <w:r>
        <w:rPr>
          <w:rFonts w:ascii="David" w:cs="David" w:eastAsia="David" w:hAnsi="David"/>
          <w:b/>
          <w:bCs/>
          <w:i w:val="false"/>
          <w:iCs w:val="false"/>
          <w:sz w:val="20"/>
          <w:szCs w:val="20"/>
          <w:rtl/>
        </w:rPr>
        <w:t xml:space="preserve">שנאת ישראל</w:t>
      </w:r>
      <w:r>
        <w:rPr>
          <w:rFonts w:ascii="David" w:cs="David" w:eastAsia="David" w:hAnsi="David"/>
          <w:sz w:val="20"/>
          <w:szCs w:val="20"/>
          <w:rtl/>
        </w:rPr>
        <w:t xml:space="preserve">, עמ' 290-308; Pulzer, </w:t>
      </w:r>
      <w:r>
        <w:rPr>
          <w:rFonts w:ascii="David" w:cs="David" w:eastAsia="David" w:hAnsi="David"/>
          <w:i/>
          <w:iCs/>
          <w:sz w:val="20"/>
          <w:szCs w:val="20"/>
          <w:rtl w:val="false"/>
        </w:rPr>
        <w:t xml:space="preserve">The Rise of Political Anti-Semitism</w:t>
      </w:r>
      <w:r>
        <w:rPr>
          <w:rFonts w:ascii="David" w:cs="David" w:eastAsia="David" w:hAnsi="David"/>
          <w:sz w:val="20"/>
          <w:szCs w:val="20"/>
          <w:rtl w:val="false"/>
        </w:rPr>
        <w:t xml:space="preserve">, pp. 49-52, 92-95.</w:t>
      </w:r>
    </w:p>
  </w:footnote>
  <w:footnote w:id="20">
    <w:p>
      <w:pPr>
        <w:bidi w:val="false"/>
        <w:spacing w:after="40" w:line="240" w:lineRule="auto"/>
        <w:jc w:val="left"/>
      </w:pPr>
      <w:r>
        <w:rPr>
          <w:rStyle w:val="FootnoteReference"/>
        </w:rPr>
        <w:footnoteRef/>
      </w:r>
      <w:r>
        <w:rPr>
          <w:rFonts w:ascii="David" w:cs="David" w:eastAsia="David" w:hAnsi="David"/>
          <w:sz w:val="20"/>
          <w:szCs w:val="20"/>
        </w:rPr>
        <w:t xml:space="preserve"> </w:t>
      </w:r>
      <w:r>
        <w:rPr>
          <w:rFonts w:ascii="David" w:cs="David" w:eastAsia="David" w:hAnsi="David"/>
          <w:sz w:val="20"/>
          <w:szCs w:val="20"/>
          <w:rtl w:val="false"/>
        </w:rPr>
        <w:t xml:space="preserve">Pulzer, </w:t>
      </w:r>
      <w:r>
        <w:rPr>
          <w:rFonts w:ascii="David" w:cs="David" w:eastAsia="David" w:hAnsi="David"/>
          <w:i/>
          <w:iCs/>
          <w:sz w:val="20"/>
          <w:szCs w:val="20"/>
          <w:rtl w:val="false"/>
        </w:rPr>
        <w:t xml:space="preserve">The Rise of Political Anti-Semitism</w:t>
      </w:r>
      <w:r>
        <w:rPr>
          <w:rFonts w:ascii="David" w:cs="David" w:eastAsia="David" w:hAnsi="David"/>
          <w:sz w:val="20"/>
          <w:szCs w:val="20"/>
          <w:rtl w:val="false"/>
        </w:rPr>
        <w:t xml:space="preserve">, pp. 106-130.</w:t>
      </w:r>
    </w:p>
  </w:footnote>
  <w:footnote w:id="21">
    <w:p>
      <w:pPr>
        <w:bidi w:val="false"/>
        <w:spacing w:after="40" w:line="240" w:lineRule="auto"/>
        <w:jc w:val="left"/>
      </w:pPr>
      <w:r>
        <w:rPr>
          <w:rStyle w:val="FootnoteReference"/>
        </w:rPr>
        <w:footnoteRef/>
      </w:r>
      <w:r>
        <w:rPr>
          <w:rFonts w:ascii="David" w:cs="David" w:eastAsia="David" w:hAnsi="David"/>
          <w:sz w:val="20"/>
          <w:szCs w:val="20"/>
        </w:rPr>
        <w:t xml:space="preserve"> </w:t>
      </w:r>
      <w:r>
        <w:rPr>
          <w:rFonts w:ascii="David" w:cs="David" w:eastAsia="David" w:hAnsi="David"/>
          <w:sz w:val="20"/>
          <w:szCs w:val="20"/>
          <w:rtl/>
        </w:rPr>
        <w:t xml:space="preserve">כ"ץ, </w:t>
      </w:r>
      <w:r>
        <w:rPr>
          <w:rFonts w:ascii="David" w:cs="David" w:eastAsia="David" w:hAnsi="David"/>
          <w:b/>
          <w:bCs/>
          <w:i w:val="false"/>
          <w:iCs w:val="false"/>
          <w:sz w:val="20"/>
          <w:szCs w:val="20"/>
          <w:rtl/>
        </w:rPr>
        <w:t xml:space="preserve">שנאת ישראל</w:t>
      </w:r>
      <w:r>
        <w:rPr>
          <w:rFonts w:ascii="David" w:cs="David" w:eastAsia="David" w:hAnsi="David"/>
          <w:sz w:val="20"/>
          <w:szCs w:val="20"/>
          <w:rtl/>
        </w:rPr>
        <w:t xml:space="preserve">, עמ' 309-320; Pulzer, </w:t>
      </w:r>
      <w:r>
        <w:rPr>
          <w:rFonts w:ascii="David" w:cs="David" w:eastAsia="David" w:hAnsi="David"/>
          <w:i/>
          <w:iCs/>
          <w:sz w:val="20"/>
          <w:szCs w:val="20"/>
          <w:rtl w:val="false"/>
        </w:rPr>
        <w:t xml:space="preserve">The Rise of Political Anti-Semitism</w:t>
      </w:r>
      <w:r>
        <w:rPr>
          <w:rFonts w:ascii="David" w:cs="David" w:eastAsia="David" w:hAnsi="David"/>
          <w:sz w:val="20"/>
          <w:szCs w:val="20"/>
          <w:rtl w:val="false"/>
        </w:rPr>
        <w:t xml:space="preserve">, pp. 121-130.</w:t>
      </w:r>
    </w:p>
  </w:footnote>
  <w:footnote w:id="22">
    <w:p>
      <w:pPr>
        <w:bidi w:val="false"/>
        <w:spacing w:after="40" w:line="240" w:lineRule="auto"/>
        <w:jc w:val="left"/>
      </w:pPr>
      <w:r>
        <w:rPr>
          <w:rStyle w:val="FootnoteReference"/>
        </w:rPr>
        <w:footnoteRef/>
      </w:r>
      <w:r>
        <w:rPr>
          <w:rFonts w:ascii="David" w:cs="David" w:eastAsia="David" w:hAnsi="David"/>
          <w:sz w:val="20"/>
          <w:szCs w:val="20"/>
        </w:rPr>
        <w:t xml:space="preserve"> </w:t>
      </w:r>
      <w:r>
        <w:rPr>
          <w:rFonts w:ascii="David" w:cs="David" w:eastAsia="David" w:hAnsi="David"/>
          <w:sz w:val="20"/>
          <w:szCs w:val="20"/>
          <w:rtl/>
        </w:rPr>
        <w:t xml:space="preserve">שולמית וולקוב, </w:t>
      </w:r>
      <w:r>
        <w:rPr>
          <w:rFonts w:ascii="David" w:cs="David" w:eastAsia="David" w:hAnsi="David"/>
          <w:b/>
          <w:bCs/>
          <w:i w:val="false"/>
          <w:iCs w:val="false"/>
          <w:sz w:val="20"/>
          <w:szCs w:val="20"/>
          <w:rtl/>
        </w:rPr>
        <w:t xml:space="preserve">במעגל המכושף: יהודים, אנטישמים וגרמנים אחרים</w:t>
      </w:r>
      <w:r>
        <w:rPr>
          <w:rFonts w:ascii="David" w:cs="David" w:eastAsia="David" w:hAnsi="David"/>
          <w:sz w:val="20"/>
          <w:szCs w:val="20"/>
          <w:rtl/>
        </w:rPr>
        <w:t xml:space="preserve"> (תל אביב: עם עובד, 2002), עמ' 71-98; Shulamit Volkov, "Antisemitism as a Cultural Code: Reflections on the History and Historiography of Antisemitism in Imperial Germany," </w:t>
      </w:r>
      <w:r>
        <w:rPr>
          <w:rFonts w:ascii="David" w:cs="David" w:eastAsia="David" w:hAnsi="David"/>
          <w:i/>
          <w:iCs/>
          <w:sz w:val="20"/>
          <w:szCs w:val="20"/>
          <w:rtl w:val="false"/>
        </w:rPr>
        <w:t xml:space="preserve">Leo Baeck Institute Year Book</w:t>
      </w:r>
      <w:r>
        <w:rPr>
          <w:rFonts w:ascii="David" w:cs="David" w:eastAsia="David" w:hAnsi="David"/>
          <w:sz w:val="20"/>
          <w:szCs w:val="20"/>
          <w:rtl w:val="false"/>
        </w:rPr>
        <w:t xml:space="preserve"> 23 (1978), pp. 25-46.</w:t>
      </w:r>
    </w:p>
  </w:footnote>
  <w:footnote w:id="23">
    <w:p>
      <w:pPr>
        <w:bidi/>
        <w:spacing w:after="40" w:line="240" w:lineRule="auto"/>
        <w:jc w:val="both"/>
      </w:pPr>
      <w:r>
        <w:rPr>
          <w:rStyle w:val="FootnoteReference"/>
        </w:rPr>
        <w:footnoteRef/>
      </w:r>
      <w:r>
        <w:rPr>
          <w:rFonts w:ascii="David" w:cs="David" w:eastAsia="David" w:hAnsi="David"/>
          <w:sz w:val="20"/>
          <w:szCs w:val="20"/>
        </w:rPr>
        <w:t xml:space="preserve"> </w:t>
      </w:r>
      <w:r>
        <w:rPr>
          <w:rFonts w:ascii="David" w:cs="David" w:eastAsia="David" w:hAnsi="David"/>
          <w:sz w:val="20"/>
          <w:szCs w:val="20"/>
          <w:rtl/>
        </w:rPr>
        <w:t xml:space="preserve">גיא מירון, </w:t>
      </w:r>
      <w:r>
        <w:rPr>
          <w:rFonts w:ascii="David" w:cs="David" w:eastAsia="David" w:hAnsi="David"/>
          <w:b/>
          <w:bCs/>
          <w:i w:val="false"/>
          <w:iCs w:val="false"/>
          <w:sz w:val="20"/>
          <w:szCs w:val="20"/>
          <w:rtl/>
        </w:rPr>
        <w:t xml:space="preserve">האנטישמיות במאה ה-19: מדריך למידה</w:t>
      </w:r>
      <w:r>
        <w:rPr>
          <w:rFonts w:ascii="David" w:cs="David" w:eastAsia="David" w:hAnsi="David"/>
          <w:sz w:val="20"/>
          <w:szCs w:val="20"/>
          <w:rtl/>
        </w:rPr>
        <w:t xml:space="preserve"> (רעננה: האוניברסיטה הפתוחה, 2022), עמ' 54-56; Pulzer, </w:t>
      </w:r>
      <w:r>
        <w:rPr>
          <w:rFonts w:ascii="David" w:cs="David" w:eastAsia="David" w:hAnsi="David"/>
          <w:i/>
          <w:iCs/>
          <w:sz w:val="20"/>
          <w:szCs w:val="20"/>
          <w:rtl/>
        </w:rPr>
        <w:t xml:space="preserve">The Rise of Political Anti-Semitism</w:t>
      </w:r>
      <w:r>
        <w:rPr>
          <w:rFonts w:ascii="David" w:cs="David" w:eastAsia="David" w:hAnsi="David"/>
          <w:sz w:val="20"/>
          <w:szCs w:val="20"/>
          <w:rtl/>
        </w:rPr>
        <w:t xml:space="preserve">, pp. 148-155.</w:t>
      </w:r>
    </w:p>
  </w:footnote>
  <w:footnote w:id="24">
    <w:p>
      <w:pPr>
        <w:bidi w:val="false"/>
        <w:spacing w:after="40" w:line="240" w:lineRule="auto"/>
        <w:jc w:val="left"/>
      </w:pPr>
      <w:r>
        <w:rPr>
          <w:rStyle w:val="FootnoteReference"/>
        </w:rPr>
        <w:footnoteRef/>
      </w:r>
      <w:r>
        <w:rPr>
          <w:rFonts w:ascii="David" w:cs="David" w:eastAsia="David" w:hAnsi="David"/>
          <w:sz w:val="20"/>
          <w:szCs w:val="20"/>
        </w:rPr>
        <w:t xml:space="preserve"> </w:t>
      </w:r>
      <w:r>
        <w:rPr>
          <w:rFonts w:ascii="David" w:cs="David" w:eastAsia="David" w:hAnsi="David"/>
          <w:sz w:val="20"/>
          <w:szCs w:val="20"/>
          <w:rtl w:val="false"/>
        </w:rPr>
        <w:t xml:space="preserve">Robert S. Wistrich, </w:t>
      </w:r>
      <w:r>
        <w:rPr>
          <w:rFonts w:ascii="David" w:cs="David" w:eastAsia="David" w:hAnsi="David"/>
          <w:i/>
          <w:iCs/>
          <w:sz w:val="20"/>
          <w:szCs w:val="20"/>
          <w:rtl w:val="false"/>
        </w:rPr>
        <w:t xml:space="preserve">The Jews of Vienna in the Age of Franz Joseph</w:t>
      </w:r>
      <w:r>
        <w:rPr>
          <w:rFonts w:ascii="David" w:cs="David" w:eastAsia="David" w:hAnsi="David"/>
          <w:sz w:val="20"/>
          <w:szCs w:val="20"/>
          <w:rtl w:val="false"/>
        </w:rPr>
        <w:t xml:space="preserve"> (Oxford: Oxford University Press, 1989), pp. 3-61.</w:t>
      </w:r>
    </w:p>
  </w:footnote>
  <w:footnote w:id="25">
    <w:p>
      <w:pPr>
        <w:bidi w:val="false"/>
        <w:spacing w:after="40" w:line="240" w:lineRule="auto"/>
        <w:jc w:val="left"/>
      </w:pPr>
      <w:r>
        <w:rPr>
          <w:rStyle w:val="FootnoteReference"/>
        </w:rPr>
        <w:footnoteRef/>
      </w:r>
      <w:r>
        <w:rPr>
          <w:rFonts w:ascii="David" w:cs="David" w:eastAsia="David" w:hAnsi="David"/>
          <w:sz w:val="20"/>
          <w:szCs w:val="20"/>
        </w:rPr>
        <w:t xml:space="preserve"> </w:t>
      </w:r>
      <w:r>
        <w:rPr>
          <w:rFonts w:ascii="David" w:cs="David" w:eastAsia="David" w:hAnsi="David"/>
          <w:sz w:val="20"/>
          <w:szCs w:val="20"/>
          <w:rtl/>
        </w:rPr>
        <w:t xml:space="preserve">מירון, </w:t>
      </w:r>
      <w:r>
        <w:rPr>
          <w:rFonts w:ascii="David" w:cs="David" w:eastAsia="David" w:hAnsi="David"/>
          <w:b/>
          <w:bCs/>
          <w:i w:val="false"/>
          <w:iCs w:val="false"/>
          <w:sz w:val="20"/>
          <w:szCs w:val="20"/>
          <w:rtl/>
        </w:rPr>
        <w:t xml:space="preserve">מדריך למידה</w:t>
      </w:r>
      <w:r>
        <w:rPr>
          <w:rFonts w:ascii="David" w:cs="David" w:eastAsia="David" w:hAnsi="David"/>
          <w:sz w:val="20"/>
          <w:szCs w:val="20"/>
          <w:rtl/>
        </w:rPr>
        <w:t xml:space="preserve">, עמ' 56-59; Wistrich, </w:t>
      </w:r>
      <w:r>
        <w:rPr>
          <w:rFonts w:ascii="David" w:cs="David" w:eastAsia="David" w:hAnsi="David"/>
          <w:i/>
          <w:iCs/>
          <w:sz w:val="20"/>
          <w:szCs w:val="20"/>
          <w:rtl w:val="false"/>
        </w:rPr>
        <w:t xml:space="preserve">The Jews of Vienna</w:t>
      </w:r>
      <w:r>
        <w:rPr>
          <w:rFonts w:ascii="David" w:cs="David" w:eastAsia="David" w:hAnsi="David"/>
          <w:sz w:val="20"/>
          <w:szCs w:val="20"/>
          <w:rtl w:val="false"/>
        </w:rPr>
        <w:t xml:space="preserve">, pp. 205-256.</w:t>
      </w:r>
    </w:p>
  </w:footnote>
  <w:footnote w:id="26">
    <w:p>
      <w:pPr>
        <w:bidi w:val="false"/>
        <w:spacing w:after="40" w:line="240" w:lineRule="auto"/>
        <w:jc w:val="left"/>
      </w:pPr>
      <w:r>
        <w:rPr>
          <w:rStyle w:val="FootnoteReference"/>
        </w:rPr>
        <w:footnoteRef/>
      </w:r>
      <w:r>
        <w:rPr>
          <w:rFonts w:ascii="David" w:cs="David" w:eastAsia="David" w:hAnsi="David"/>
          <w:sz w:val="20"/>
          <w:szCs w:val="20"/>
        </w:rPr>
        <w:t xml:space="preserve"> </w:t>
      </w:r>
      <w:r>
        <w:rPr>
          <w:rFonts w:ascii="David" w:cs="David" w:eastAsia="David" w:hAnsi="David"/>
          <w:sz w:val="20"/>
          <w:szCs w:val="20"/>
          <w:rtl/>
        </w:rPr>
        <w:t xml:space="preserve">מירון, </w:t>
      </w:r>
      <w:r>
        <w:rPr>
          <w:rFonts w:ascii="David" w:cs="David" w:eastAsia="David" w:hAnsi="David"/>
          <w:b/>
          <w:bCs/>
          <w:i w:val="false"/>
          <w:iCs w:val="false"/>
          <w:sz w:val="20"/>
          <w:szCs w:val="20"/>
          <w:rtl/>
        </w:rPr>
        <w:t xml:space="preserve">מדריך למידה</w:t>
      </w:r>
      <w:r>
        <w:rPr>
          <w:rFonts w:ascii="David" w:cs="David" w:eastAsia="David" w:hAnsi="David"/>
          <w:sz w:val="20"/>
          <w:szCs w:val="20"/>
          <w:rtl/>
        </w:rPr>
        <w:t xml:space="preserve">, עמ' 58-59; Carl E. Schorske, </w:t>
      </w:r>
      <w:r>
        <w:rPr>
          <w:rFonts w:ascii="David" w:cs="David" w:eastAsia="David" w:hAnsi="David"/>
          <w:i/>
          <w:iCs/>
          <w:sz w:val="20"/>
          <w:szCs w:val="20"/>
          <w:rtl w:val="false"/>
        </w:rPr>
        <w:t xml:space="preserve">Fin-de-siècle Vienna: Politics and Culture</w:t>
      </w:r>
      <w:r>
        <w:rPr>
          <w:rFonts w:ascii="David" w:cs="David" w:eastAsia="David" w:hAnsi="David"/>
          <w:sz w:val="20"/>
          <w:szCs w:val="20"/>
          <w:rtl w:val="false"/>
        </w:rPr>
        <w:t xml:space="preserve"> (New York: Alfred A. Knopf, 1980), pp. 116-180.</w:t>
      </w:r>
    </w:p>
  </w:footnote>
  <w:footnote w:id="27">
    <w:p>
      <w:pPr>
        <w:bidi w:val="false"/>
        <w:spacing w:after="40" w:line="240" w:lineRule="auto"/>
        <w:jc w:val="left"/>
      </w:pPr>
      <w:r>
        <w:rPr>
          <w:rStyle w:val="FootnoteReference"/>
        </w:rPr>
        <w:footnoteRef/>
      </w:r>
      <w:r>
        <w:rPr>
          <w:rFonts w:ascii="David" w:cs="David" w:eastAsia="David" w:hAnsi="David"/>
          <w:sz w:val="20"/>
          <w:szCs w:val="20"/>
        </w:rPr>
        <w:t xml:space="preserve"> </w:t>
      </w:r>
      <w:r>
        <w:rPr>
          <w:rFonts w:ascii="David" w:cs="David" w:eastAsia="David" w:hAnsi="David"/>
          <w:sz w:val="20"/>
          <w:szCs w:val="20"/>
          <w:rtl/>
        </w:rPr>
        <w:t xml:space="preserve">מירון, </w:t>
      </w:r>
      <w:r>
        <w:rPr>
          <w:rFonts w:ascii="David" w:cs="David" w:eastAsia="David" w:hAnsi="David"/>
          <w:b/>
          <w:bCs/>
          <w:i w:val="false"/>
          <w:iCs w:val="false"/>
          <w:sz w:val="20"/>
          <w:szCs w:val="20"/>
          <w:rtl/>
        </w:rPr>
        <w:t xml:space="preserve">מדריך למידה</w:t>
      </w:r>
      <w:r>
        <w:rPr>
          <w:rFonts w:ascii="David" w:cs="David" w:eastAsia="David" w:hAnsi="David"/>
          <w:sz w:val="20"/>
          <w:szCs w:val="20"/>
          <w:rtl/>
        </w:rPr>
        <w:t xml:space="preserve">, עמ' 60-62; Paula E. Hyman, </w:t>
      </w:r>
      <w:r>
        <w:rPr>
          <w:rFonts w:ascii="David" w:cs="David" w:eastAsia="David" w:hAnsi="David"/>
          <w:i/>
          <w:iCs/>
          <w:sz w:val="20"/>
          <w:szCs w:val="20"/>
          <w:rtl w:val="false"/>
        </w:rPr>
        <w:t xml:space="preserve">The Jews of Modern France</w:t>
      </w:r>
      <w:r>
        <w:rPr>
          <w:rFonts w:ascii="David" w:cs="David" w:eastAsia="David" w:hAnsi="David"/>
          <w:sz w:val="20"/>
          <w:szCs w:val="20"/>
          <w:rtl w:val="false"/>
        </w:rPr>
        <w:t xml:space="preserve"> (Berkeley: University of California Press, 1998), pp. 89-95.</w:t>
      </w:r>
    </w:p>
  </w:footnote>
  <w:footnote w:id="28">
    <w:p>
      <w:pPr>
        <w:bidi w:val="false"/>
        <w:spacing w:after="40" w:line="240" w:lineRule="auto"/>
        <w:jc w:val="left"/>
      </w:pPr>
      <w:r>
        <w:rPr>
          <w:rStyle w:val="FootnoteReference"/>
        </w:rPr>
        <w:footnoteRef/>
      </w:r>
      <w:r>
        <w:rPr>
          <w:rFonts w:ascii="David" w:cs="David" w:eastAsia="David" w:hAnsi="David"/>
          <w:sz w:val="20"/>
          <w:szCs w:val="20"/>
        </w:rPr>
        <w:t xml:space="preserve"> </w:t>
      </w:r>
      <w:r>
        <w:rPr>
          <w:rFonts w:ascii="David" w:cs="David" w:eastAsia="David" w:hAnsi="David"/>
          <w:sz w:val="20"/>
          <w:szCs w:val="20"/>
          <w:rtl w:val="false"/>
        </w:rPr>
        <w:t xml:space="preserve">Hyman, </w:t>
      </w:r>
      <w:r>
        <w:rPr>
          <w:rFonts w:ascii="David" w:cs="David" w:eastAsia="David" w:hAnsi="David"/>
          <w:i/>
          <w:iCs/>
          <w:sz w:val="20"/>
          <w:szCs w:val="20"/>
          <w:rtl w:val="false"/>
        </w:rPr>
        <w:t xml:space="preserve">The Jews of Modern France</w:t>
      </w:r>
      <w:r>
        <w:rPr>
          <w:rFonts w:ascii="David" w:cs="David" w:eastAsia="David" w:hAnsi="David"/>
          <w:sz w:val="20"/>
          <w:szCs w:val="20"/>
          <w:rtl w:val="false"/>
        </w:rPr>
        <w:t xml:space="preserve">, pp. 95-99; Stephen Wilson, </w:t>
      </w:r>
      <w:r>
        <w:rPr>
          <w:rFonts w:ascii="David" w:cs="David" w:eastAsia="David" w:hAnsi="David"/>
          <w:i/>
          <w:iCs/>
          <w:sz w:val="20"/>
          <w:szCs w:val="20"/>
          <w:rtl w:val="false"/>
        </w:rPr>
        <w:t xml:space="preserve">Ideology and Experience: Antisemitism in France at the Time of the Dreyfus Affair</w:t>
      </w:r>
      <w:r>
        <w:rPr>
          <w:rFonts w:ascii="David" w:cs="David" w:eastAsia="David" w:hAnsi="David"/>
          <w:sz w:val="20"/>
          <w:szCs w:val="20"/>
          <w:rtl w:val="false"/>
        </w:rPr>
        <w:t xml:space="preserve"> (Rutherford: Fairleigh Dickinson University Press, 1982), pp. 3-35.</w:t>
      </w:r>
    </w:p>
  </w:footnote>
  <w:footnote w:id="29">
    <w:p>
      <w:pPr>
        <w:bidi/>
        <w:spacing w:after="40" w:line="240" w:lineRule="auto"/>
        <w:jc w:val="both"/>
      </w:pPr>
      <w:r>
        <w:rPr>
          <w:rStyle w:val="FootnoteReference"/>
        </w:rPr>
        <w:footnoteRef/>
      </w:r>
      <w:r>
        <w:rPr>
          <w:rFonts w:ascii="David" w:cs="David" w:eastAsia="David" w:hAnsi="David"/>
          <w:sz w:val="20"/>
          <w:szCs w:val="20"/>
        </w:rPr>
        <w:t xml:space="preserve"> </w:t>
      </w:r>
      <w:r>
        <w:rPr>
          <w:rFonts w:ascii="David" w:cs="David" w:eastAsia="David" w:hAnsi="David"/>
          <w:sz w:val="20"/>
          <w:szCs w:val="20"/>
          <w:rtl/>
        </w:rPr>
        <w:t xml:space="preserve">אדואר דרימון, "צרפת המיוהדת" (1886), בתוך: </w:t>
      </w:r>
      <w:r>
        <w:rPr>
          <w:rFonts w:ascii="David" w:cs="David" w:eastAsia="David" w:hAnsi="David"/>
          <w:b/>
          <w:bCs/>
          <w:i w:val="false"/>
          <w:iCs w:val="false"/>
          <w:sz w:val="20"/>
          <w:szCs w:val="20"/>
          <w:rtl/>
        </w:rPr>
        <w:t xml:space="preserve">מקראת הקורס האנטישמיות במאה ה-19</w:t>
      </w:r>
      <w:r>
        <w:rPr>
          <w:rFonts w:ascii="David" w:cs="David" w:eastAsia="David" w:hAnsi="David"/>
          <w:sz w:val="20"/>
          <w:szCs w:val="20"/>
          <w:rtl/>
        </w:rPr>
        <w:t xml:space="preserve"> (רעננה: האוניברסיטה הפתוחה), עמ' 443-444; Hyman, </w:t>
      </w:r>
      <w:r>
        <w:rPr>
          <w:rFonts w:ascii="David" w:cs="David" w:eastAsia="David" w:hAnsi="David"/>
          <w:i/>
          <w:iCs/>
          <w:sz w:val="20"/>
          <w:szCs w:val="20"/>
          <w:rtl/>
        </w:rPr>
        <w:t xml:space="preserve">The Jews of Modern France</w:t>
      </w:r>
      <w:r>
        <w:rPr>
          <w:rFonts w:ascii="David" w:cs="David" w:eastAsia="David" w:hAnsi="David"/>
          <w:sz w:val="20"/>
          <w:szCs w:val="20"/>
          <w:rtl/>
        </w:rPr>
        <w:t xml:space="preserve">, pp. 96-98.</w:t>
      </w:r>
    </w:p>
  </w:footnote>
  <w:footnote w:id="30">
    <w:p>
      <w:pPr>
        <w:bidi w:val="false"/>
        <w:spacing w:after="40" w:line="240" w:lineRule="auto"/>
        <w:jc w:val="left"/>
      </w:pPr>
      <w:r>
        <w:rPr>
          <w:rStyle w:val="FootnoteReference"/>
        </w:rPr>
        <w:footnoteRef/>
      </w:r>
      <w:r>
        <w:rPr>
          <w:rFonts w:ascii="David" w:cs="David" w:eastAsia="David" w:hAnsi="David"/>
          <w:sz w:val="20"/>
          <w:szCs w:val="20"/>
        </w:rPr>
        <w:t xml:space="preserve"> </w:t>
      </w:r>
      <w:r>
        <w:rPr>
          <w:rFonts w:ascii="David" w:cs="David" w:eastAsia="David" w:hAnsi="David"/>
          <w:sz w:val="20"/>
          <w:szCs w:val="20"/>
          <w:rtl w:val="false"/>
        </w:rPr>
        <w:t xml:space="preserve">Wilson, </w:t>
      </w:r>
      <w:r>
        <w:rPr>
          <w:rFonts w:ascii="David" w:cs="David" w:eastAsia="David" w:hAnsi="David"/>
          <w:i/>
          <w:iCs/>
          <w:sz w:val="20"/>
          <w:szCs w:val="20"/>
          <w:rtl w:val="false"/>
        </w:rPr>
        <w:t xml:space="preserve">Ideology and Experience</w:t>
      </w:r>
      <w:r>
        <w:rPr>
          <w:rFonts w:ascii="David" w:cs="David" w:eastAsia="David" w:hAnsi="David"/>
          <w:sz w:val="20"/>
          <w:szCs w:val="20"/>
          <w:rtl w:val="false"/>
        </w:rPr>
        <w:t xml:space="preserve">, pp. 36-70; Eric Cahm, </w:t>
      </w:r>
      <w:r>
        <w:rPr>
          <w:rFonts w:ascii="David" w:cs="David" w:eastAsia="David" w:hAnsi="David"/>
          <w:i/>
          <w:iCs/>
          <w:sz w:val="20"/>
          <w:szCs w:val="20"/>
          <w:rtl w:val="false"/>
        </w:rPr>
        <w:t xml:space="preserve">The Dreyfus Affair in French Society and Politics</w:t>
      </w:r>
      <w:r>
        <w:rPr>
          <w:rFonts w:ascii="David" w:cs="David" w:eastAsia="David" w:hAnsi="David"/>
          <w:sz w:val="20"/>
          <w:szCs w:val="20"/>
          <w:rtl w:val="false"/>
        </w:rPr>
        <w:t xml:space="preserve"> (London: Longman, 1996), pp. 1-24.</w:t>
      </w:r>
    </w:p>
  </w:footnote>
  <w:footnote w:id="31">
    <w:p>
      <w:pPr>
        <w:bidi w:val="false"/>
        <w:spacing w:after="40" w:line="240" w:lineRule="auto"/>
        <w:jc w:val="left"/>
      </w:pPr>
      <w:r>
        <w:rPr>
          <w:rStyle w:val="FootnoteReference"/>
        </w:rPr>
        <w:footnoteRef/>
      </w:r>
      <w:r>
        <w:rPr>
          <w:rFonts w:ascii="David" w:cs="David" w:eastAsia="David" w:hAnsi="David"/>
          <w:sz w:val="20"/>
          <w:szCs w:val="20"/>
        </w:rPr>
        <w:t xml:space="preserve"> </w:t>
      </w:r>
      <w:r>
        <w:rPr>
          <w:rFonts w:ascii="David" w:cs="David" w:eastAsia="David" w:hAnsi="David"/>
          <w:sz w:val="20"/>
          <w:szCs w:val="20"/>
          <w:rtl w:val="false"/>
        </w:rPr>
        <w:t xml:space="preserve">Wilson, </w:t>
      </w:r>
      <w:r>
        <w:rPr>
          <w:rFonts w:ascii="David" w:cs="David" w:eastAsia="David" w:hAnsi="David"/>
          <w:i/>
          <w:iCs/>
          <w:sz w:val="20"/>
          <w:szCs w:val="20"/>
          <w:rtl w:val="false"/>
        </w:rPr>
        <w:t xml:space="preserve">Ideology and Experience</w:t>
      </w:r>
      <w:r>
        <w:rPr>
          <w:rFonts w:ascii="David" w:cs="David" w:eastAsia="David" w:hAnsi="David"/>
          <w:sz w:val="20"/>
          <w:szCs w:val="20"/>
          <w:rtl w:val="false"/>
        </w:rPr>
        <w:t xml:space="preserve">, pp. 106-124, 171-200; Pierre Birnbaum, </w:t>
      </w:r>
      <w:r>
        <w:rPr>
          <w:rFonts w:ascii="David" w:cs="David" w:eastAsia="David" w:hAnsi="David"/>
          <w:i/>
          <w:iCs/>
          <w:sz w:val="20"/>
          <w:szCs w:val="20"/>
          <w:rtl w:val="false"/>
        </w:rPr>
        <w:t xml:space="preserve">The Anti-Semitic Moment: A Tour of France in 1898</w:t>
      </w:r>
      <w:r>
        <w:rPr>
          <w:rFonts w:ascii="David" w:cs="David" w:eastAsia="David" w:hAnsi="David"/>
          <w:sz w:val="20"/>
          <w:szCs w:val="20"/>
          <w:rtl w:val="false"/>
        </w:rPr>
        <w:t xml:space="preserve">, trans. Jane Marie Todd (New York: Hill and Wang, 2003), pp. 1-22.</w:t>
      </w:r>
    </w:p>
  </w:footnote>
  <w:footnote w:id="32">
    <w:p>
      <w:pPr>
        <w:bidi w:val="false"/>
        <w:spacing w:after="40" w:line="240" w:lineRule="auto"/>
        <w:jc w:val="left"/>
      </w:pPr>
      <w:r>
        <w:rPr>
          <w:rStyle w:val="FootnoteReference"/>
        </w:rPr>
        <w:footnoteRef/>
      </w:r>
      <w:r>
        <w:rPr>
          <w:rFonts w:ascii="David" w:cs="David" w:eastAsia="David" w:hAnsi="David"/>
          <w:sz w:val="20"/>
          <w:szCs w:val="20"/>
        </w:rPr>
        <w:t xml:space="preserve"> </w:t>
      </w:r>
      <w:r>
        <w:rPr>
          <w:rFonts w:ascii="David" w:cs="David" w:eastAsia="David" w:hAnsi="David"/>
          <w:sz w:val="20"/>
          <w:szCs w:val="20"/>
          <w:rtl w:val="false"/>
        </w:rPr>
        <w:t xml:space="preserve">Hyman, </w:t>
      </w:r>
      <w:r>
        <w:rPr>
          <w:rFonts w:ascii="David" w:cs="David" w:eastAsia="David" w:hAnsi="David"/>
          <w:i/>
          <w:iCs/>
          <w:sz w:val="20"/>
          <w:szCs w:val="20"/>
          <w:rtl w:val="false"/>
        </w:rPr>
        <w:t xml:space="preserve">The Jews of Modern France</w:t>
      </w:r>
      <w:r>
        <w:rPr>
          <w:rFonts w:ascii="David" w:cs="David" w:eastAsia="David" w:hAnsi="David"/>
          <w:sz w:val="20"/>
          <w:szCs w:val="20"/>
          <w:rtl w:val="false"/>
        </w:rPr>
        <w:t xml:space="preserve">, pp. 104-106; Michael R. Marrus, </w:t>
      </w:r>
      <w:r>
        <w:rPr>
          <w:rFonts w:ascii="David" w:cs="David" w:eastAsia="David" w:hAnsi="David"/>
          <w:i/>
          <w:iCs/>
          <w:sz w:val="20"/>
          <w:szCs w:val="20"/>
          <w:rtl w:val="false"/>
        </w:rPr>
        <w:t xml:space="preserve">The Politics of Assimilation: A Study of the French Jewish Community at the Time of the Dreyfus Affair</w:t>
      </w:r>
      <w:r>
        <w:rPr>
          <w:rFonts w:ascii="David" w:cs="David" w:eastAsia="David" w:hAnsi="David"/>
          <w:sz w:val="20"/>
          <w:szCs w:val="20"/>
          <w:rtl w:val="false"/>
        </w:rPr>
        <w:t xml:space="preserve"> (Oxford: Clarendon Press, 1971), pp. 196-242.</w:t>
      </w:r>
    </w:p>
  </w:footnote>
  <w:footnote w:id="33">
    <w:p>
      <w:pPr>
        <w:bidi w:val="false"/>
        <w:spacing w:after="40" w:line="240" w:lineRule="auto"/>
        <w:jc w:val="left"/>
      </w:pPr>
      <w:r>
        <w:rPr>
          <w:rStyle w:val="FootnoteReference"/>
        </w:rPr>
        <w:footnoteRef/>
      </w:r>
      <w:r>
        <w:rPr>
          <w:rFonts w:ascii="David" w:cs="David" w:eastAsia="David" w:hAnsi="David"/>
          <w:sz w:val="20"/>
          <w:szCs w:val="20"/>
        </w:rPr>
        <w:t xml:space="preserve"> </w:t>
      </w:r>
      <w:r>
        <w:rPr>
          <w:rFonts w:ascii="David" w:cs="David" w:eastAsia="David" w:hAnsi="David"/>
          <w:sz w:val="20"/>
          <w:szCs w:val="20"/>
          <w:rtl/>
        </w:rPr>
        <w:t xml:space="preserve">מירון, </w:t>
      </w:r>
      <w:r>
        <w:rPr>
          <w:rFonts w:ascii="David" w:cs="David" w:eastAsia="David" w:hAnsi="David"/>
          <w:b/>
          <w:bCs/>
          <w:i w:val="false"/>
          <w:iCs w:val="false"/>
          <w:sz w:val="20"/>
          <w:szCs w:val="20"/>
          <w:rtl/>
        </w:rPr>
        <w:t xml:space="preserve">מדריך למידה</w:t>
      </w:r>
      <w:r>
        <w:rPr>
          <w:rFonts w:ascii="David" w:cs="David" w:eastAsia="David" w:hAnsi="David"/>
          <w:sz w:val="20"/>
          <w:szCs w:val="20"/>
          <w:rtl/>
        </w:rPr>
        <w:t xml:space="preserve">, עמ' 63; Hyman, </w:t>
      </w:r>
      <w:r>
        <w:rPr>
          <w:rFonts w:ascii="David" w:cs="David" w:eastAsia="David" w:hAnsi="David"/>
          <w:i/>
          <w:iCs/>
          <w:sz w:val="20"/>
          <w:szCs w:val="20"/>
          <w:rtl w:val="false"/>
        </w:rPr>
        <w:t xml:space="preserve">The Jews of Modern France</w:t>
      </w:r>
      <w:r>
        <w:rPr>
          <w:rFonts w:ascii="David" w:cs="David" w:eastAsia="David" w:hAnsi="David"/>
          <w:sz w:val="20"/>
          <w:szCs w:val="20"/>
          <w:rtl w:val="false"/>
        </w:rPr>
        <w:t xml:space="preserve">, pp. 98-99, 111-114.</w:t>
      </w:r>
    </w:p>
  </w:footnote>
  <w:footnote w:id="34">
    <w:p>
      <w:pPr>
        <w:bidi w:val="false"/>
        <w:spacing w:after="40" w:line="240" w:lineRule="auto"/>
        <w:jc w:val="left"/>
      </w:pPr>
      <w:r>
        <w:rPr>
          <w:rStyle w:val="FootnoteReference"/>
        </w:rPr>
        <w:footnoteRef/>
      </w:r>
      <w:r>
        <w:rPr>
          <w:rFonts w:ascii="David" w:cs="David" w:eastAsia="David" w:hAnsi="David"/>
          <w:sz w:val="20"/>
          <w:szCs w:val="20"/>
        </w:rPr>
        <w:t xml:space="preserve"> </w:t>
      </w:r>
      <w:r>
        <w:rPr>
          <w:rFonts w:ascii="David" w:cs="David" w:eastAsia="David" w:hAnsi="David"/>
          <w:sz w:val="20"/>
          <w:szCs w:val="20"/>
          <w:rtl w:val="false"/>
        </w:rPr>
        <w:t xml:space="preserve">Hyman, </w:t>
      </w:r>
      <w:r>
        <w:rPr>
          <w:rFonts w:ascii="David" w:cs="David" w:eastAsia="David" w:hAnsi="David"/>
          <w:i/>
          <w:iCs/>
          <w:sz w:val="20"/>
          <w:szCs w:val="20"/>
          <w:rtl w:val="false"/>
        </w:rPr>
        <w:t xml:space="preserve">The Jews of Modern France</w:t>
      </w:r>
      <w:r>
        <w:rPr>
          <w:rFonts w:ascii="David" w:cs="David" w:eastAsia="David" w:hAnsi="David"/>
          <w:sz w:val="20"/>
          <w:szCs w:val="20"/>
          <w:rtl w:val="false"/>
        </w:rPr>
        <w:t xml:space="preserve">, pp. 111-114; Pulzer, </w:t>
      </w:r>
      <w:r>
        <w:rPr>
          <w:rFonts w:ascii="David" w:cs="David" w:eastAsia="David" w:hAnsi="David"/>
          <w:i/>
          <w:iCs/>
          <w:sz w:val="20"/>
          <w:szCs w:val="20"/>
          <w:rtl w:val="false"/>
        </w:rPr>
        <w:t xml:space="preserve">The Rise of Political Anti-Semitism</w:t>
      </w:r>
      <w:r>
        <w:rPr>
          <w:rFonts w:ascii="David" w:cs="David" w:eastAsia="David" w:hAnsi="David"/>
          <w:sz w:val="20"/>
          <w:szCs w:val="20"/>
          <w:rtl w:val="false"/>
        </w:rPr>
        <w:t xml:space="preserve">, pp. 47-57.</w:t>
      </w:r>
    </w:p>
  </w:footnote>
  <w:footnote w:id="35">
    <w:p>
      <w:pPr>
        <w:bidi w:val="false"/>
        <w:spacing w:after="40" w:line="240" w:lineRule="auto"/>
        <w:jc w:val="left"/>
      </w:pPr>
      <w:r>
        <w:rPr>
          <w:rStyle w:val="FootnoteReference"/>
        </w:rPr>
        <w:footnoteRef/>
      </w:r>
      <w:r>
        <w:rPr>
          <w:rFonts w:ascii="David" w:cs="David" w:eastAsia="David" w:hAnsi="David"/>
          <w:sz w:val="20"/>
          <w:szCs w:val="20"/>
        </w:rPr>
        <w:t xml:space="preserve"> </w:t>
      </w:r>
      <w:r>
        <w:rPr>
          <w:rFonts w:ascii="David" w:cs="David" w:eastAsia="David" w:hAnsi="David"/>
          <w:sz w:val="20"/>
          <w:szCs w:val="20"/>
          <w:rtl/>
        </w:rPr>
        <w:t xml:space="preserve">אבינרי, </w:t>
      </w:r>
      <w:r>
        <w:rPr>
          <w:rFonts w:ascii="David" w:cs="David" w:eastAsia="David" w:hAnsi="David"/>
          <w:b/>
          <w:bCs/>
          <w:i w:val="false"/>
          <w:iCs w:val="false"/>
          <w:sz w:val="20"/>
          <w:szCs w:val="20"/>
          <w:rtl/>
        </w:rPr>
        <w:t xml:space="preserve">הרצל</w:t>
      </w:r>
      <w:r>
        <w:rPr>
          <w:rFonts w:ascii="David" w:cs="David" w:eastAsia="David" w:hAnsi="David"/>
          <w:sz w:val="20"/>
          <w:szCs w:val="20"/>
          <w:rtl/>
        </w:rPr>
        <w:t xml:space="preserve">, עמ' 15-56; Hyman, </w:t>
      </w:r>
      <w:r>
        <w:rPr>
          <w:rFonts w:ascii="David" w:cs="David" w:eastAsia="David" w:hAnsi="David"/>
          <w:i/>
          <w:iCs/>
          <w:sz w:val="20"/>
          <w:szCs w:val="20"/>
          <w:rtl w:val="false"/>
        </w:rPr>
        <w:t xml:space="preserve">The Jews of Modern France</w:t>
      </w:r>
      <w:r>
        <w:rPr>
          <w:rFonts w:ascii="David" w:cs="David" w:eastAsia="David" w:hAnsi="David"/>
          <w:sz w:val="20"/>
          <w:szCs w:val="20"/>
          <w:rtl w:val="false"/>
        </w:rPr>
        <w:t xml:space="preserve">, pp. 111-114; Pulzer, </w:t>
      </w:r>
      <w:r>
        <w:rPr>
          <w:rFonts w:ascii="David" w:cs="David" w:eastAsia="David" w:hAnsi="David"/>
          <w:i/>
          <w:iCs/>
          <w:sz w:val="20"/>
          <w:szCs w:val="20"/>
          <w:rtl w:val="false"/>
        </w:rPr>
        <w:t xml:space="preserve">The Rise of Political Anti-Semitism</w:t>
      </w:r>
      <w:r>
        <w:rPr>
          <w:rFonts w:ascii="David" w:cs="David" w:eastAsia="David" w:hAnsi="David"/>
          <w:sz w:val="20"/>
          <w:szCs w:val="20"/>
          <w:rtl w:val="false"/>
        </w:rPr>
        <w:t xml:space="preserve">, pp. 47-57.</w:t>
      </w:r>
    </w:p>
  </w:footnote>
  <w:footnote w:id="36">
    <w:p>
      <w:pPr>
        <w:bidi w:val="false"/>
        <w:spacing w:after="40" w:line="240" w:lineRule="auto"/>
        <w:jc w:val="left"/>
      </w:pPr>
      <w:r>
        <w:rPr>
          <w:rStyle w:val="FootnoteReference"/>
        </w:rPr>
        <w:footnoteRef/>
      </w:r>
      <w:r>
        <w:rPr>
          <w:rFonts w:ascii="David" w:cs="David" w:eastAsia="David" w:hAnsi="David"/>
          <w:sz w:val="20"/>
          <w:szCs w:val="20"/>
        </w:rPr>
        <w:t xml:space="preserve"> </w:t>
      </w:r>
      <w:r>
        <w:rPr>
          <w:rFonts w:ascii="David" w:cs="David" w:eastAsia="David" w:hAnsi="David"/>
          <w:sz w:val="20"/>
          <w:szCs w:val="20"/>
          <w:rtl/>
        </w:rPr>
        <w:t xml:space="preserve">בנימין זאב הרצל, </w:t>
      </w:r>
      <w:r>
        <w:rPr>
          <w:rFonts w:ascii="David" w:cs="David" w:eastAsia="David" w:hAnsi="David"/>
          <w:b/>
          <w:bCs/>
          <w:i w:val="false"/>
          <w:iCs w:val="false"/>
          <w:sz w:val="20"/>
          <w:szCs w:val="20"/>
          <w:rtl/>
        </w:rPr>
        <w:t xml:space="preserve">עניין היהודים: ספרי יומן 1895-1904</w:t>
      </w:r>
      <w:r>
        <w:rPr>
          <w:rFonts w:ascii="David" w:cs="David" w:eastAsia="David" w:hAnsi="David"/>
          <w:sz w:val="20"/>
          <w:szCs w:val="20"/>
          <w:rtl/>
        </w:rPr>
        <w:t xml:space="preserve">, תרגם יוסף ונקרט (ירושלים: מוסד ביאליק, 1997), כרך א, רשימות הפתיחה; Theodor Herzl, </w:t>
      </w:r>
      <w:r>
        <w:rPr>
          <w:rFonts w:ascii="David" w:cs="David" w:eastAsia="David" w:hAnsi="David"/>
          <w:i/>
          <w:iCs/>
          <w:sz w:val="20"/>
          <w:szCs w:val="20"/>
          <w:rtl w:val="false"/>
        </w:rPr>
        <w:t xml:space="preserve">The Complete Diaries of Theodor Herzl</w:t>
      </w:r>
      <w:r>
        <w:rPr>
          <w:rFonts w:ascii="David" w:cs="David" w:eastAsia="David" w:hAnsi="David"/>
          <w:sz w:val="20"/>
          <w:szCs w:val="20"/>
          <w:rtl w:val="false"/>
        </w:rPr>
        <w:t xml:space="preserve">, ed. Raphael Patai, trans. Harry Zohn (New York: Herzl Press and Thomas Yoseloff, 1960), vol. 1, pp. 3-12.</w:t>
      </w:r>
    </w:p>
  </w:footnote>
  <w:footnote w:id="37">
    <w:p>
      <w:pPr>
        <w:bidi w:val="false"/>
        <w:spacing w:after="40" w:line="240" w:lineRule="auto"/>
        <w:jc w:val="left"/>
      </w:pPr>
      <w:r>
        <w:rPr>
          <w:rStyle w:val="FootnoteReference"/>
        </w:rPr>
        <w:footnoteRef/>
      </w:r>
      <w:r>
        <w:rPr>
          <w:rFonts w:ascii="David" w:cs="David" w:eastAsia="David" w:hAnsi="David"/>
          <w:sz w:val="20"/>
          <w:szCs w:val="20"/>
        </w:rPr>
        <w:t xml:space="preserve"> </w:t>
      </w:r>
      <w:r>
        <w:rPr>
          <w:rFonts w:ascii="David" w:cs="David" w:eastAsia="David" w:hAnsi="David"/>
          <w:sz w:val="20"/>
          <w:szCs w:val="20"/>
          <w:rtl/>
        </w:rPr>
        <w:t xml:space="preserve">אבינרי, </w:t>
      </w:r>
      <w:r>
        <w:rPr>
          <w:rFonts w:ascii="David" w:cs="David" w:eastAsia="David" w:hAnsi="David"/>
          <w:b/>
          <w:bCs/>
          <w:i w:val="false"/>
          <w:iCs w:val="false"/>
          <w:sz w:val="20"/>
          <w:szCs w:val="20"/>
          <w:rtl/>
        </w:rPr>
        <w:t xml:space="preserve">הרצל</w:t>
      </w:r>
      <w:r>
        <w:rPr>
          <w:rFonts w:ascii="David" w:cs="David" w:eastAsia="David" w:hAnsi="David"/>
          <w:sz w:val="20"/>
          <w:szCs w:val="20"/>
          <w:rtl/>
        </w:rPr>
        <w:t xml:space="preserve">, עמ' 93-108; Shlomo Avineri, "Theodor Herzl's Diaries as a Bildungsroman," </w:t>
      </w:r>
      <w:r>
        <w:rPr>
          <w:rFonts w:ascii="David" w:cs="David" w:eastAsia="David" w:hAnsi="David"/>
          <w:i/>
          <w:iCs/>
          <w:sz w:val="20"/>
          <w:szCs w:val="20"/>
          <w:rtl w:val="false"/>
        </w:rPr>
        <w:t xml:space="preserve">Jewish Social Studies</w:t>
      </w:r>
      <w:r>
        <w:rPr>
          <w:rFonts w:ascii="David" w:cs="David" w:eastAsia="David" w:hAnsi="David"/>
          <w:sz w:val="20"/>
          <w:szCs w:val="20"/>
          <w:rtl w:val="false"/>
        </w:rPr>
        <w:t xml:space="preserve"> 5:3 (1999), pp. 1-46.</w:t>
      </w:r>
    </w:p>
  </w:footnote>
  <w:footnote w:id="38">
    <w:p>
      <w:pPr>
        <w:bidi w:val="false"/>
        <w:spacing w:after="40" w:line="240" w:lineRule="auto"/>
        <w:jc w:val="left"/>
      </w:pPr>
      <w:r>
        <w:rPr>
          <w:rStyle w:val="FootnoteReference"/>
        </w:rPr>
        <w:footnoteRef/>
      </w:r>
      <w:r>
        <w:rPr>
          <w:rFonts w:ascii="David" w:cs="David" w:eastAsia="David" w:hAnsi="David"/>
          <w:sz w:val="20"/>
          <w:szCs w:val="20"/>
        </w:rPr>
        <w:t xml:space="preserve"> </w:t>
      </w:r>
      <w:r>
        <w:rPr>
          <w:rFonts w:ascii="David" w:cs="David" w:eastAsia="David" w:hAnsi="David"/>
          <w:sz w:val="20"/>
          <w:szCs w:val="20"/>
          <w:rtl/>
        </w:rPr>
        <w:t xml:space="preserve">אבינרי, </w:t>
      </w:r>
      <w:r>
        <w:rPr>
          <w:rFonts w:ascii="David" w:cs="David" w:eastAsia="David" w:hAnsi="David"/>
          <w:b/>
          <w:bCs/>
          <w:i w:val="false"/>
          <w:iCs w:val="false"/>
          <w:sz w:val="20"/>
          <w:szCs w:val="20"/>
          <w:rtl/>
        </w:rPr>
        <w:t xml:space="preserve">הרצל</w:t>
      </w:r>
      <w:r>
        <w:rPr>
          <w:rFonts w:ascii="David" w:cs="David" w:eastAsia="David" w:hAnsi="David"/>
          <w:sz w:val="20"/>
          <w:szCs w:val="20"/>
          <w:rtl/>
        </w:rPr>
        <w:t xml:space="preserve">, עמ' 34-41; Kornberg, </w:t>
      </w:r>
      <w:r>
        <w:rPr>
          <w:rFonts w:ascii="David" w:cs="David" w:eastAsia="David" w:hAnsi="David"/>
          <w:i/>
          <w:iCs/>
          <w:sz w:val="20"/>
          <w:szCs w:val="20"/>
          <w:rtl w:val="false"/>
        </w:rPr>
        <w:t xml:space="preserve">Theodor Herzl</w:t>
      </w:r>
      <w:r>
        <w:rPr>
          <w:rFonts w:ascii="David" w:cs="David" w:eastAsia="David" w:hAnsi="David"/>
          <w:sz w:val="20"/>
          <w:szCs w:val="20"/>
          <w:rtl w:val="false"/>
        </w:rPr>
        <w:t xml:space="preserve">, pp. 42-58.</w:t>
      </w:r>
    </w:p>
  </w:footnote>
  <w:footnote w:id="39">
    <w:p>
      <w:pPr>
        <w:bidi w:val="false"/>
        <w:spacing w:after="40" w:line="240" w:lineRule="auto"/>
        <w:jc w:val="left"/>
      </w:pPr>
      <w:r>
        <w:rPr>
          <w:rStyle w:val="FootnoteReference"/>
        </w:rPr>
        <w:footnoteRef/>
      </w:r>
      <w:r>
        <w:rPr>
          <w:rFonts w:ascii="David" w:cs="David" w:eastAsia="David" w:hAnsi="David"/>
          <w:sz w:val="20"/>
          <w:szCs w:val="20"/>
        </w:rPr>
        <w:t xml:space="preserve"> </w:t>
      </w:r>
      <w:r>
        <w:rPr>
          <w:rFonts w:ascii="David" w:cs="David" w:eastAsia="David" w:hAnsi="David"/>
          <w:sz w:val="20"/>
          <w:szCs w:val="20"/>
          <w:rtl w:val="false"/>
        </w:rPr>
        <w:t xml:space="preserve">Bein, </w:t>
      </w:r>
      <w:r>
        <w:rPr>
          <w:rFonts w:ascii="David" w:cs="David" w:eastAsia="David" w:hAnsi="David"/>
          <w:i/>
          <w:iCs/>
          <w:sz w:val="20"/>
          <w:szCs w:val="20"/>
          <w:rtl w:val="false"/>
        </w:rPr>
        <w:t xml:space="preserve">Theodore Herzl</w:t>
      </w:r>
      <w:r>
        <w:rPr>
          <w:rFonts w:ascii="David" w:cs="David" w:eastAsia="David" w:hAnsi="David"/>
          <w:sz w:val="20"/>
          <w:szCs w:val="20"/>
          <w:rtl w:val="false"/>
        </w:rPr>
        <w:t xml:space="preserve">, pp. 41-54; Schorske, </w:t>
      </w:r>
      <w:r>
        <w:rPr>
          <w:rFonts w:ascii="David" w:cs="David" w:eastAsia="David" w:hAnsi="David"/>
          <w:i/>
          <w:iCs/>
          <w:sz w:val="20"/>
          <w:szCs w:val="20"/>
          <w:rtl w:val="false"/>
        </w:rPr>
        <w:t xml:space="preserve">Fin-de-siècle Vienna</w:t>
      </w:r>
      <w:r>
        <w:rPr>
          <w:rFonts w:ascii="David" w:cs="David" w:eastAsia="David" w:hAnsi="David"/>
          <w:sz w:val="20"/>
          <w:szCs w:val="20"/>
          <w:rtl w:val="false"/>
        </w:rPr>
        <w:t xml:space="preserve">, pp. 150-153.</w:t>
      </w:r>
    </w:p>
  </w:footnote>
  <w:footnote w:id="40">
    <w:p>
      <w:pPr>
        <w:bidi w:val="false"/>
        <w:spacing w:after="40" w:line="240" w:lineRule="auto"/>
        <w:jc w:val="left"/>
      </w:pPr>
      <w:r>
        <w:rPr>
          <w:rStyle w:val="FootnoteReference"/>
        </w:rPr>
        <w:footnoteRef/>
      </w:r>
      <w:r>
        <w:rPr>
          <w:rFonts w:ascii="David" w:cs="David" w:eastAsia="David" w:hAnsi="David"/>
          <w:sz w:val="20"/>
          <w:szCs w:val="20"/>
        </w:rPr>
        <w:t xml:space="preserve"> </w:t>
      </w:r>
      <w:r>
        <w:rPr>
          <w:rFonts w:ascii="David" w:cs="David" w:eastAsia="David" w:hAnsi="David"/>
          <w:sz w:val="20"/>
          <w:szCs w:val="20"/>
          <w:rtl w:val="false"/>
        </w:rPr>
        <w:t xml:space="preserve">Elon, </w:t>
      </w:r>
      <w:r>
        <w:rPr>
          <w:rFonts w:ascii="David" w:cs="David" w:eastAsia="David" w:hAnsi="David"/>
          <w:i/>
          <w:iCs/>
          <w:sz w:val="20"/>
          <w:szCs w:val="20"/>
          <w:rtl w:val="false"/>
        </w:rPr>
        <w:t xml:space="preserve">Herzl</w:t>
      </w:r>
      <w:r>
        <w:rPr>
          <w:rFonts w:ascii="David" w:cs="David" w:eastAsia="David" w:hAnsi="David"/>
          <w:sz w:val="20"/>
          <w:szCs w:val="20"/>
          <w:rtl w:val="false"/>
        </w:rPr>
        <w:t xml:space="preserve">, pp. 100-113; Penslar, </w:t>
      </w:r>
      <w:r>
        <w:rPr>
          <w:rFonts w:ascii="David" w:cs="David" w:eastAsia="David" w:hAnsi="David"/>
          <w:i/>
          <w:iCs/>
          <w:sz w:val="20"/>
          <w:szCs w:val="20"/>
          <w:rtl w:val="false"/>
        </w:rPr>
        <w:t xml:space="preserve">Theodor Herzl</w:t>
      </w:r>
      <w:r>
        <w:rPr>
          <w:rFonts w:ascii="David" w:cs="David" w:eastAsia="David" w:hAnsi="David"/>
          <w:sz w:val="20"/>
          <w:szCs w:val="20"/>
          <w:rtl w:val="false"/>
        </w:rPr>
        <w:t xml:space="preserve">, pp. 40-48.</w:t>
      </w:r>
    </w:p>
  </w:footnote>
  <w:footnote w:id="41">
    <w:p>
      <w:pPr>
        <w:bidi w:val="false"/>
        <w:spacing w:after="40" w:line="240" w:lineRule="auto"/>
        <w:jc w:val="left"/>
      </w:pPr>
      <w:r>
        <w:rPr>
          <w:rStyle w:val="FootnoteReference"/>
        </w:rPr>
        <w:footnoteRef/>
      </w:r>
      <w:r>
        <w:rPr>
          <w:rFonts w:ascii="David" w:cs="David" w:eastAsia="David" w:hAnsi="David"/>
          <w:sz w:val="20"/>
          <w:szCs w:val="20"/>
        </w:rPr>
        <w:t xml:space="preserve"> </w:t>
      </w:r>
      <w:r>
        <w:rPr>
          <w:rFonts w:ascii="David" w:cs="David" w:eastAsia="David" w:hAnsi="David"/>
          <w:sz w:val="20"/>
          <w:szCs w:val="20"/>
          <w:rtl/>
        </w:rPr>
        <w:t xml:space="preserve">אבינרי, </w:t>
      </w:r>
      <w:r>
        <w:rPr>
          <w:rFonts w:ascii="David" w:cs="David" w:eastAsia="David" w:hAnsi="David"/>
          <w:b/>
          <w:bCs/>
          <w:i w:val="false"/>
          <w:iCs w:val="false"/>
          <w:sz w:val="20"/>
          <w:szCs w:val="20"/>
          <w:rtl/>
        </w:rPr>
        <w:t xml:space="preserve">הרצל</w:t>
      </w:r>
      <w:r>
        <w:rPr>
          <w:rFonts w:ascii="David" w:cs="David" w:eastAsia="David" w:hAnsi="David"/>
          <w:sz w:val="20"/>
          <w:szCs w:val="20"/>
          <w:rtl/>
        </w:rPr>
        <w:t xml:space="preserve">, עמ' 57-70; Kornberg, </w:t>
      </w:r>
      <w:r>
        <w:rPr>
          <w:rFonts w:ascii="David" w:cs="David" w:eastAsia="David" w:hAnsi="David"/>
          <w:i/>
          <w:iCs/>
          <w:sz w:val="20"/>
          <w:szCs w:val="20"/>
          <w:rtl w:val="false"/>
        </w:rPr>
        <w:t xml:space="preserve">Theodor Herzl</w:t>
      </w:r>
      <w:r>
        <w:rPr>
          <w:rFonts w:ascii="David" w:cs="David" w:eastAsia="David" w:hAnsi="David"/>
          <w:sz w:val="20"/>
          <w:szCs w:val="20"/>
          <w:rtl w:val="false"/>
        </w:rPr>
        <w:t xml:space="preserve">, pp. 115-133.</w:t>
      </w:r>
    </w:p>
  </w:footnote>
  <w:footnote w:id="42">
    <w:p>
      <w:pPr>
        <w:bidi w:val="false"/>
        <w:spacing w:after="40" w:line="240" w:lineRule="auto"/>
        <w:jc w:val="left"/>
      </w:pPr>
      <w:r>
        <w:rPr>
          <w:rStyle w:val="FootnoteReference"/>
        </w:rPr>
        <w:footnoteRef/>
      </w:r>
      <w:r>
        <w:rPr>
          <w:rFonts w:ascii="David" w:cs="David" w:eastAsia="David" w:hAnsi="David"/>
          <w:sz w:val="20"/>
          <w:szCs w:val="20"/>
        </w:rPr>
        <w:t xml:space="preserve"> </w:t>
      </w:r>
      <w:r>
        <w:rPr>
          <w:rFonts w:ascii="David" w:cs="David" w:eastAsia="David" w:hAnsi="David"/>
          <w:sz w:val="20"/>
          <w:szCs w:val="20"/>
          <w:rtl w:val="false"/>
        </w:rPr>
        <w:t xml:space="preserve">Herzl, </w:t>
      </w:r>
      <w:r>
        <w:rPr>
          <w:rFonts w:ascii="David" w:cs="David" w:eastAsia="David" w:hAnsi="David"/>
          <w:i/>
          <w:iCs/>
          <w:sz w:val="20"/>
          <w:szCs w:val="20"/>
          <w:rtl w:val="false"/>
        </w:rPr>
        <w:t xml:space="preserve">Complete Diaries</w:t>
      </w:r>
      <w:r>
        <w:rPr>
          <w:rFonts w:ascii="David" w:cs="David" w:eastAsia="David" w:hAnsi="David"/>
          <w:sz w:val="20"/>
          <w:szCs w:val="20"/>
          <w:rtl w:val="false"/>
        </w:rPr>
        <w:t xml:space="preserve">, vol. 1, p. 22; Kornberg, </w:t>
      </w:r>
      <w:r>
        <w:rPr>
          <w:rFonts w:ascii="David" w:cs="David" w:eastAsia="David" w:hAnsi="David"/>
          <w:i/>
          <w:iCs/>
          <w:sz w:val="20"/>
          <w:szCs w:val="20"/>
          <w:rtl w:val="false"/>
        </w:rPr>
        <w:t xml:space="preserve">Theodor Herzl</w:t>
      </w:r>
      <w:r>
        <w:rPr>
          <w:rFonts w:ascii="David" w:cs="David" w:eastAsia="David" w:hAnsi="David"/>
          <w:sz w:val="20"/>
          <w:szCs w:val="20"/>
          <w:rtl w:val="false"/>
        </w:rPr>
        <w:t xml:space="preserve">, pp. 159-182; Theodor Herzl, </w:t>
      </w:r>
      <w:r>
        <w:rPr>
          <w:rFonts w:ascii="David" w:cs="David" w:eastAsia="David" w:hAnsi="David"/>
          <w:i/>
          <w:iCs/>
          <w:sz w:val="20"/>
          <w:szCs w:val="20"/>
          <w:rtl w:val="false"/>
        </w:rPr>
        <w:t xml:space="preserve">The Jewish State</w:t>
      </w:r>
      <w:r>
        <w:rPr>
          <w:rFonts w:ascii="David" w:cs="David" w:eastAsia="David" w:hAnsi="David"/>
          <w:sz w:val="20"/>
          <w:szCs w:val="20"/>
          <w:rtl w:val="false"/>
        </w:rPr>
        <w:t xml:space="preserve"> (New York: Dover, 1988; first published 1896), pp. 80-83.</w:t>
      </w:r>
    </w:p>
  </w:footnote>
  <w:footnote w:id="43">
    <w:p>
      <w:pPr>
        <w:bidi w:val="false"/>
        <w:spacing w:after="40" w:line="240" w:lineRule="auto"/>
        <w:jc w:val="left"/>
      </w:pPr>
      <w:r>
        <w:rPr>
          <w:rStyle w:val="FootnoteReference"/>
        </w:rPr>
        <w:footnoteRef/>
      </w:r>
      <w:r>
        <w:rPr>
          <w:rFonts w:ascii="David" w:cs="David" w:eastAsia="David" w:hAnsi="David"/>
          <w:sz w:val="20"/>
          <w:szCs w:val="20"/>
        </w:rPr>
        <w:t xml:space="preserve"> </w:t>
      </w:r>
      <w:r>
        <w:rPr>
          <w:rFonts w:ascii="David" w:cs="David" w:eastAsia="David" w:hAnsi="David"/>
          <w:sz w:val="20"/>
          <w:szCs w:val="20"/>
          <w:rtl w:val="false"/>
        </w:rPr>
        <w:t xml:space="preserve">Elon, </w:t>
      </w:r>
      <w:r>
        <w:rPr>
          <w:rFonts w:ascii="David" w:cs="David" w:eastAsia="David" w:hAnsi="David"/>
          <w:i/>
          <w:iCs/>
          <w:sz w:val="20"/>
          <w:szCs w:val="20"/>
          <w:rtl w:val="false"/>
        </w:rPr>
        <w:t xml:space="preserve">Herzl</w:t>
      </w:r>
      <w:r>
        <w:rPr>
          <w:rFonts w:ascii="David" w:cs="David" w:eastAsia="David" w:hAnsi="David"/>
          <w:sz w:val="20"/>
          <w:szCs w:val="20"/>
          <w:rtl w:val="false"/>
        </w:rPr>
        <w:t xml:space="preserve">, pp. 114-130; Penslar, </w:t>
      </w:r>
      <w:r>
        <w:rPr>
          <w:rFonts w:ascii="David" w:cs="David" w:eastAsia="David" w:hAnsi="David"/>
          <w:i/>
          <w:iCs/>
          <w:sz w:val="20"/>
          <w:szCs w:val="20"/>
          <w:rtl w:val="false"/>
        </w:rPr>
        <w:t xml:space="preserve">Theodor Herzl</w:t>
      </w:r>
      <w:r>
        <w:rPr>
          <w:rFonts w:ascii="David" w:cs="David" w:eastAsia="David" w:hAnsi="David"/>
          <w:sz w:val="20"/>
          <w:szCs w:val="20"/>
          <w:rtl w:val="false"/>
        </w:rPr>
        <w:t xml:space="preserve">, pp. 49-70.</w:t>
      </w:r>
    </w:p>
  </w:footnote>
  <w:footnote w:id="44">
    <w:p>
      <w:pPr>
        <w:bidi w:val="false"/>
        <w:spacing w:after="40" w:line="240" w:lineRule="auto"/>
        <w:jc w:val="left"/>
      </w:pPr>
      <w:r>
        <w:rPr>
          <w:rStyle w:val="FootnoteReference"/>
        </w:rPr>
        <w:footnoteRef/>
      </w:r>
      <w:r>
        <w:rPr>
          <w:rFonts w:ascii="David" w:cs="David" w:eastAsia="David" w:hAnsi="David"/>
          <w:sz w:val="20"/>
          <w:szCs w:val="20"/>
        </w:rPr>
        <w:t xml:space="preserve"> </w:t>
      </w:r>
      <w:r>
        <w:rPr>
          <w:rFonts w:ascii="David" w:cs="David" w:eastAsia="David" w:hAnsi="David"/>
          <w:sz w:val="20"/>
          <w:szCs w:val="20"/>
          <w:rtl/>
        </w:rPr>
        <w:t xml:space="preserve">אבינרי, </w:t>
      </w:r>
      <w:r>
        <w:rPr>
          <w:rFonts w:ascii="David" w:cs="David" w:eastAsia="David" w:hAnsi="David"/>
          <w:b/>
          <w:bCs/>
          <w:i w:val="false"/>
          <w:iCs w:val="false"/>
          <w:sz w:val="20"/>
          <w:szCs w:val="20"/>
          <w:rtl/>
        </w:rPr>
        <w:t xml:space="preserve">הרצל</w:t>
      </w:r>
      <w:r>
        <w:rPr>
          <w:rFonts w:ascii="David" w:cs="David" w:eastAsia="David" w:hAnsi="David"/>
          <w:sz w:val="20"/>
          <w:szCs w:val="20"/>
          <w:rtl/>
        </w:rPr>
        <w:t xml:space="preserve">, עמ' 71-83; Kornberg, </w:t>
      </w:r>
      <w:r>
        <w:rPr>
          <w:rFonts w:ascii="David" w:cs="David" w:eastAsia="David" w:hAnsi="David"/>
          <w:i/>
          <w:iCs/>
          <w:sz w:val="20"/>
          <w:szCs w:val="20"/>
          <w:rtl w:val="false"/>
        </w:rPr>
        <w:t xml:space="preserve">Theodor Herzl</w:t>
      </w:r>
      <w:r>
        <w:rPr>
          <w:rFonts w:ascii="David" w:cs="David" w:eastAsia="David" w:hAnsi="David"/>
          <w:sz w:val="20"/>
          <w:szCs w:val="20"/>
          <w:rtl w:val="false"/>
        </w:rPr>
        <w:t xml:space="preserve">, pp. 134-158.</w:t>
      </w:r>
    </w:p>
  </w:footnote>
  <w:footnote w:id="45">
    <w:p>
      <w:pPr>
        <w:bidi w:val="false"/>
        <w:spacing w:after="40" w:line="240" w:lineRule="auto"/>
        <w:jc w:val="left"/>
      </w:pPr>
      <w:r>
        <w:rPr>
          <w:rStyle w:val="FootnoteReference"/>
        </w:rPr>
        <w:footnoteRef/>
      </w:r>
      <w:r>
        <w:rPr>
          <w:rFonts w:ascii="David" w:cs="David" w:eastAsia="David" w:hAnsi="David"/>
          <w:sz w:val="20"/>
          <w:szCs w:val="20"/>
        </w:rPr>
        <w:t xml:space="preserve"> </w:t>
      </w:r>
      <w:r>
        <w:rPr>
          <w:rFonts w:ascii="David" w:cs="David" w:eastAsia="David" w:hAnsi="David"/>
          <w:sz w:val="20"/>
          <w:szCs w:val="20"/>
          <w:rtl w:val="false"/>
        </w:rPr>
        <w:t xml:space="preserve">Pawel, </w:t>
      </w:r>
      <w:r>
        <w:rPr>
          <w:rFonts w:ascii="David" w:cs="David" w:eastAsia="David" w:hAnsi="David"/>
          <w:i/>
          <w:iCs/>
          <w:sz w:val="20"/>
          <w:szCs w:val="20"/>
          <w:rtl w:val="false"/>
        </w:rPr>
        <w:t xml:space="preserve">The Labyrinth of Exile</w:t>
      </w:r>
      <w:r>
        <w:rPr>
          <w:rFonts w:ascii="David" w:cs="David" w:eastAsia="David" w:hAnsi="David"/>
          <w:sz w:val="20"/>
          <w:szCs w:val="20"/>
          <w:rtl w:val="false"/>
        </w:rPr>
        <w:t xml:space="preserve">, pp. 189-202.</w:t>
      </w:r>
    </w:p>
  </w:footnote>
  <w:footnote w:id="46">
    <w:p>
      <w:pPr>
        <w:bidi/>
        <w:spacing w:after="40" w:line="240" w:lineRule="auto"/>
        <w:jc w:val="both"/>
      </w:pPr>
      <w:r>
        <w:rPr>
          <w:rStyle w:val="FootnoteReference"/>
        </w:rPr>
        <w:footnoteRef/>
      </w:r>
      <w:r>
        <w:rPr>
          <w:rFonts w:ascii="David" w:cs="David" w:eastAsia="David" w:hAnsi="David"/>
          <w:sz w:val="20"/>
          <w:szCs w:val="20"/>
        </w:rPr>
        <w:t xml:space="preserve"> </w:t>
      </w:r>
      <w:r>
        <w:rPr>
          <w:rFonts w:ascii="David" w:cs="David" w:eastAsia="David" w:hAnsi="David"/>
          <w:sz w:val="20"/>
          <w:szCs w:val="20"/>
          <w:rtl/>
        </w:rPr>
        <w:t xml:space="preserve">אבינרי, </w:t>
      </w:r>
      <w:r>
        <w:rPr>
          <w:rFonts w:ascii="David" w:cs="David" w:eastAsia="David" w:hAnsi="David"/>
          <w:b/>
          <w:bCs/>
          <w:i w:val="false"/>
          <w:iCs w:val="false"/>
          <w:sz w:val="20"/>
          <w:szCs w:val="20"/>
          <w:rtl/>
        </w:rPr>
        <w:t xml:space="preserve">הרצל</w:t>
      </w:r>
      <w:r>
        <w:rPr>
          <w:rFonts w:ascii="David" w:cs="David" w:eastAsia="David" w:hAnsi="David"/>
          <w:sz w:val="20"/>
          <w:szCs w:val="20"/>
          <w:rtl/>
        </w:rPr>
        <w:t xml:space="preserve">, עמ' 100-108; הרצל, </w:t>
      </w:r>
      <w:r>
        <w:rPr>
          <w:rFonts w:ascii="David" w:cs="David" w:eastAsia="David" w:hAnsi="David"/>
          <w:b/>
          <w:bCs/>
          <w:i w:val="false"/>
          <w:iCs w:val="false"/>
          <w:sz w:val="20"/>
          <w:szCs w:val="20"/>
          <w:rtl/>
        </w:rPr>
        <w:t xml:space="preserve">עניין היהודים</w:t>
      </w:r>
      <w:r>
        <w:rPr>
          <w:rFonts w:ascii="David" w:cs="David" w:eastAsia="David" w:hAnsi="David"/>
          <w:sz w:val="20"/>
          <w:szCs w:val="20"/>
          <w:rtl/>
        </w:rPr>
        <w:t xml:space="preserve">, כרך א, רשימות מיוני 1895.</w:t>
      </w:r>
    </w:p>
  </w:footnote>
  <w:footnote w:id="47">
    <w:p>
      <w:pPr>
        <w:bidi w:val="false"/>
        <w:spacing w:after="40" w:line="240" w:lineRule="auto"/>
        <w:jc w:val="left"/>
      </w:pPr>
      <w:r>
        <w:rPr>
          <w:rStyle w:val="FootnoteReference"/>
        </w:rPr>
        <w:footnoteRef/>
      </w:r>
      <w:r>
        <w:rPr>
          <w:rFonts w:ascii="David" w:cs="David" w:eastAsia="David" w:hAnsi="David"/>
          <w:sz w:val="20"/>
          <w:szCs w:val="20"/>
        </w:rPr>
        <w:t xml:space="preserve"> </w:t>
      </w:r>
      <w:r>
        <w:rPr>
          <w:rFonts w:ascii="David" w:cs="David" w:eastAsia="David" w:hAnsi="David"/>
          <w:sz w:val="20"/>
          <w:szCs w:val="20"/>
          <w:rtl w:val="false"/>
        </w:rPr>
        <w:t xml:space="preserve">Herzl, </w:t>
      </w:r>
      <w:r>
        <w:rPr>
          <w:rFonts w:ascii="David" w:cs="David" w:eastAsia="David" w:hAnsi="David"/>
          <w:i/>
          <w:iCs/>
          <w:sz w:val="20"/>
          <w:szCs w:val="20"/>
          <w:rtl w:val="false"/>
        </w:rPr>
        <w:t xml:space="preserve">Complete Diaries</w:t>
      </w:r>
      <w:r>
        <w:rPr>
          <w:rFonts w:ascii="David" w:cs="David" w:eastAsia="David" w:hAnsi="David"/>
          <w:sz w:val="20"/>
          <w:szCs w:val="20"/>
          <w:rtl w:val="false"/>
        </w:rPr>
        <w:t xml:space="preserve">, vol. 1, pp. 13-130; Pawel, </w:t>
      </w:r>
      <w:r>
        <w:rPr>
          <w:rFonts w:ascii="David" w:cs="David" w:eastAsia="David" w:hAnsi="David"/>
          <w:i/>
          <w:iCs/>
          <w:sz w:val="20"/>
          <w:szCs w:val="20"/>
          <w:rtl w:val="false"/>
        </w:rPr>
        <w:t xml:space="preserve">The Labyrinth of Exile</w:t>
      </w:r>
      <w:r>
        <w:rPr>
          <w:rFonts w:ascii="David" w:cs="David" w:eastAsia="David" w:hAnsi="David"/>
          <w:sz w:val="20"/>
          <w:szCs w:val="20"/>
          <w:rtl w:val="false"/>
        </w:rPr>
        <w:t xml:space="preserve">, pp. 218-240.</w:t>
      </w:r>
    </w:p>
  </w:footnote>
  <w:footnote w:id="48">
    <w:p>
      <w:pPr>
        <w:bidi w:val="false"/>
        <w:spacing w:after="40" w:line="240" w:lineRule="auto"/>
        <w:jc w:val="left"/>
      </w:pPr>
      <w:r>
        <w:rPr>
          <w:rStyle w:val="FootnoteReference"/>
        </w:rPr>
        <w:footnoteRef/>
      </w:r>
      <w:r>
        <w:rPr>
          <w:rFonts w:ascii="David" w:cs="David" w:eastAsia="David" w:hAnsi="David"/>
          <w:sz w:val="20"/>
          <w:szCs w:val="20"/>
        </w:rPr>
        <w:t xml:space="preserve"> </w:t>
      </w:r>
      <w:r>
        <w:rPr>
          <w:rFonts w:ascii="David" w:cs="David" w:eastAsia="David" w:hAnsi="David"/>
          <w:sz w:val="20"/>
          <w:szCs w:val="20"/>
          <w:rtl w:val="false"/>
        </w:rPr>
        <w:t xml:space="preserve">Kornberg, "A Reevaluation," pp. 226-252; Kornberg, </w:t>
      </w:r>
      <w:r>
        <w:rPr>
          <w:rFonts w:ascii="David" w:cs="David" w:eastAsia="David" w:hAnsi="David"/>
          <w:i/>
          <w:iCs/>
          <w:sz w:val="20"/>
          <w:szCs w:val="20"/>
          <w:rtl w:val="false"/>
        </w:rPr>
        <w:t xml:space="preserve">Theodor Herzl</w:t>
      </w:r>
      <w:r>
        <w:rPr>
          <w:rFonts w:ascii="David" w:cs="David" w:eastAsia="David" w:hAnsi="David"/>
          <w:sz w:val="20"/>
          <w:szCs w:val="20"/>
          <w:rtl w:val="false"/>
        </w:rPr>
        <w:t xml:space="preserve">, pp. 183-202.</w:t>
      </w:r>
    </w:p>
  </w:footnote>
  <w:footnote w:id="49">
    <w:p>
      <w:pPr>
        <w:bidi/>
        <w:spacing w:after="40" w:line="240" w:lineRule="auto"/>
        <w:jc w:val="both"/>
      </w:pPr>
      <w:r>
        <w:rPr>
          <w:rStyle w:val="FootnoteReference"/>
        </w:rPr>
        <w:footnoteRef/>
      </w:r>
      <w:r>
        <w:rPr>
          <w:rFonts w:ascii="David" w:cs="David" w:eastAsia="David" w:hAnsi="David"/>
          <w:sz w:val="20"/>
          <w:szCs w:val="20"/>
        </w:rPr>
        <w:t xml:space="preserve"> </w:t>
      </w:r>
      <w:r>
        <w:rPr>
          <w:rFonts w:ascii="David" w:cs="David" w:eastAsia="David" w:hAnsi="David"/>
          <w:sz w:val="20"/>
          <w:szCs w:val="20"/>
          <w:rtl/>
        </w:rPr>
        <w:t xml:space="preserve">אבינרי, </w:t>
      </w:r>
      <w:r>
        <w:rPr>
          <w:rFonts w:ascii="David" w:cs="David" w:eastAsia="David" w:hAnsi="David"/>
          <w:b/>
          <w:bCs/>
          <w:i w:val="false"/>
          <w:iCs w:val="false"/>
          <w:sz w:val="20"/>
          <w:szCs w:val="20"/>
          <w:rtl/>
        </w:rPr>
        <w:t xml:space="preserve">הרצל</w:t>
      </w:r>
      <w:r>
        <w:rPr>
          <w:rFonts w:ascii="David" w:cs="David" w:eastAsia="David" w:hAnsi="David"/>
          <w:sz w:val="20"/>
          <w:szCs w:val="20"/>
          <w:rtl/>
        </w:rPr>
        <w:t xml:space="preserve">, עמ' 84-108.</w:t>
      </w:r>
    </w:p>
  </w:footnote>
  <w:footnote w:id="50">
    <w:p>
      <w:pPr>
        <w:bidi w:val="false"/>
        <w:spacing w:after="40" w:line="240" w:lineRule="auto"/>
        <w:jc w:val="left"/>
      </w:pPr>
      <w:r>
        <w:rPr>
          <w:rStyle w:val="FootnoteReference"/>
        </w:rPr>
        <w:footnoteRef/>
      </w:r>
      <w:r>
        <w:rPr>
          <w:rFonts w:ascii="David" w:cs="David" w:eastAsia="David" w:hAnsi="David"/>
          <w:sz w:val="20"/>
          <w:szCs w:val="20"/>
        </w:rPr>
        <w:t xml:space="preserve"> </w:t>
      </w:r>
      <w:r>
        <w:rPr>
          <w:rFonts w:ascii="David" w:cs="David" w:eastAsia="David" w:hAnsi="David"/>
          <w:sz w:val="20"/>
          <w:szCs w:val="20"/>
          <w:rtl w:val="false"/>
        </w:rPr>
        <w:t xml:space="preserve">Schorske, </w:t>
      </w:r>
      <w:r>
        <w:rPr>
          <w:rFonts w:ascii="David" w:cs="David" w:eastAsia="David" w:hAnsi="David"/>
          <w:i/>
          <w:iCs/>
          <w:sz w:val="20"/>
          <w:szCs w:val="20"/>
          <w:rtl w:val="false"/>
        </w:rPr>
        <w:t xml:space="preserve">Fin-de-siècle Vienna</w:t>
      </w:r>
      <w:r>
        <w:rPr>
          <w:rFonts w:ascii="David" w:cs="David" w:eastAsia="David" w:hAnsi="David"/>
          <w:sz w:val="20"/>
          <w:szCs w:val="20"/>
          <w:rtl w:val="false"/>
        </w:rPr>
        <w:t xml:space="preserve">, pp. 146-175.</w:t>
      </w:r>
    </w:p>
  </w:footnote>
  <w:footnote w:id="51">
    <w:p>
      <w:pPr>
        <w:bidi w:val="false"/>
        <w:spacing w:after="40" w:line="240" w:lineRule="auto"/>
        <w:jc w:val="left"/>
      </w:pPr>
      <w:r>
        <w:rPr>
          <w:rStyle w:val="FootnoteReference"/>
        </w:rPr>
        <w:footnoteRef/>
      </w:r>
      <w:r>
        <w:rPr>
          <w:rFonts w:ascii="David" w:cs="David" w:eastAsia="David" w:hAnsi="David"/>
          <w:sz w:val="20"/>
          <w:szCs w:val="20"/>
        </w:rPr>
        <w:t xml:space="preserve"> </w:t>
      </w:r>
      <w:r>
        <w:rPr>
          <w:rFonts w:ascii="David" w:cs="David" w:eastAsia="David" w:hAnsi="David"/>
          <w:sz w:val="20"/>
          <w:szCs w:val="20"/>
          <w:rtl w:val="false"/>
        </w:rPr>
        <w:t xml:space="preserve">Robert S. Wistrich, "Theodor Herzl: Zionist Icon, Myth-Maker, and Social Utopian," </w:t>
      </w:r>
      <w:r>
        <w:rPr>
          <w:rFonts w:ascii="David" w:cs="David" w:eastAsia="David" w:hAnsi="David"/>
          <w:i/>
          <w:iCs/>
          <w:sz w:val="20"/>
          <w:szCs w:val="20"/>
          <w:rtl w:val="false"/>
        </w:rPr>
        <w:t xml:space="preserve">Israel Affairs</w:t>
      </w:r>
      <w:r>
        <w:rPr>
          <w:rFonts w:ascii="David" w:cs="David" w:eastAsia="David" w:hAnsi="David"/>
          <w:sz w:val="20"/>
          <w:szCs w:val="20"/>
          <w:rtl w:val="false"/>
        </w:rPr>
        <w:t xml:space="preserve"> 1:3 (1995), pp. 1-37.</w:t>
      </w:r>
    </w:p>
  </w:footnote>
  <w:footnote w:id="52">
    <w:p>
      <w:pPr>
        <w:bidi w:val="false"/>
        <w:spacing w:after="40" w:line="240" w:lineRule="auto"/>
        <w:jc w:val="left"/>
      </w:pPr>
      <w:r>
        <w:rPr>
          <w:rStyle w:val="FootnoteReference"/>
        </w:rPr>
        <w:footnoteRef/>
      </w:r>
      <w:r>
        <w:rPr>
          <w:rFonts w:ascii="David" w:cs="David" w:eastAsia="David" w:hAnsi="David"/>
          <w:sz w:val="20"/>
          <w:szCs w:val="20"/>
        </w:rPr>
        <w:t xml:space="preserve"> </w:t>
      </w:r>
      <w:r>
        <w:rPr>
          <w:rFonts w:ascii="David" w:cs="David" w:eastAsia="David" w:hAnsi="David"/>
          <w:sz w:val="20"/>
          <w:szCs w:val="20"/>
          <w:rtl w:val="false"/>
        </w:rPr>
        <w:t xml:space="preserve">Beller, </w:t>
      </w:r>
      <w:r>
        <w:rPr>
          <w:rFonts w:ascii="David" w:cs="David" w:eastAsia="David" w:hAnsi="David"/>
          <w:i/>
          <w:iCs/>
          <w:sz w:val="20"/>
          <w:szCs w:val="20"/>
          <w:rtl w:val="false"/>
        </w:rPr>
        <w:t xml:space="preserve">Herzl</w:t>
      </w:r>
      <w:r>
        <w:rPr>
          <w:rFonts w:ascii="David" w:cs="David" w:eastAsia="David" w:hAnsi="David"/>
          <w:sz w:val="20"/>
          <w:szCs w:val="20"/>
          <w:rtl w:val="false"/>
        </w:rPr>
        <w:t xml:space="preserve">, pp. 20-45.</w:t>
      </w:r>
    </w:p>
  </w:footnote>
  <w:footnote w:id="53">
    <w:p>
      <w:pPr>
        <w:bidi w:val="false"/>
        <w:spacing w:after="40" w:line="240" w:lineRule="auto"/>
        <w:jc w:val="left"/>
      </w:pPr>
      <w:r>
        <w:rPr>
          <w:rStyle w:val="FootnoteReference"/>
        </w:rPr>
        <w:footnoteRef/>
      </w:r>
      <w:r>
        <w:rPr>
          <w:rFonts w:ascii="David" w:cs="David" w:eastAsia="David" w:hAnsi="David"/>
          <w:sz w:val="20"/>
          <w:szCs w:val="20"/>
        </w:rPr>
        <w:t xml:space="preserve"> </w:t>
      </w:r>
      <w:r>
        <w:rPr>
          <w:rFonts w:ascii="David" w:cs="David" w:eastAsia="David" w:hAnsi="David"/>
          <w:sz w:val="20"/>
          <w:szCs w:val="20"/>
          <w:rtl/>
        </w:rPr>
        <w:t xml:space="preserve">אבינרי, </w:t>
      </w:r>
      <w:r>
        <w:rPr>
          <w:rFonts w:ascii="David" w:cs="David" w:eastAsia="David" w:hAnsi="David"/>
          <w:b/>
          <w:bCs/>
          <w:i w:val="false"/>
          <w:iCs w:val="false"/>
          <w:sz w:val="20"/>
          <w:szCs w:val="20"/>
          <w:rtl/>
        </w:rPr>
        <w:t xml:space="preserve">הרצל</w:t>
      </w:r>
      <w:r>
        <w:rPr>
          <w:rFonts w:ascii="David" w:cs="David" w:eastAsia="David" w:hAnsi="David"/>
          <w:sz w:val="20"/>
          <w:szCs w:val="20"/>
          <w:rtl/>
        </w:rPr>
        <w:t xml:space="preserve">, עמ' 93-108; Kornberg, </w:t>
      </w:r>
      <w:r>
        <w:rPr>
          <w:rFonts w:ascii="David" w:cs="David" w:eastAsia="David" w:hAnsi="David"/>
          <w:i/>
          <w:iCs/>
          <w:sz w:val="20"/>
          <w:szCs w:val="20"/>
          <w:rtl w:val="false"/>
        </w:rPr>
        <w:t xml:space="preserve">Theodor Herzl</w:t>
      </w:r>
      <w:r>
        <w:rPr>
          <w:rFonts w:ascii="David" w:cs="David" w:eastAsia="David" w:hAnsi="David"/>
          <w:sz w:val="20"/>
          <w:szCs w:val="20"/>
          <w:rtl w:val="false"/>
        </w:rPr>
        <w:t xml:space="preserve">, pp. 159-202.</w:t>
      </w:r>
    </w:p>
  </w:footnote>
  <w:footnote w:id="54">
    <w:p>
      <w:pPr>
        <w:bidi w:val="false"/>
        <w:spacing w:after="40" w:line="240" w:lineRule="auto"/>
        <w:jc w:val="left"/>
      </w:pPr>
      <w:r>
        <w:rPr>
          <w:rStyle w:val="FootnoteReference"/>
        </w:rPr>
        <w:footnoteRef/>
      </w:r>
      <w:r>
        <w:rPr>
          <w:rFonts w:ascii="David" w:cs="David" w:eastAsia="David" w:hAnsi="David"/>
          <w:sz w:val="20"/>
          <w:szCs w:val="20"/>
        </w:rPr>
        <w:t xml:space="preserve"> </w:t>
      </w:r>
      <w:r>
        <w:rPr>
          <w:rFonts w:ascii="David" w:cs="David" w:eastAsia="David" w:hAnsi="David"/>
          <w:sz w:val="20"/>
          <w:szCs w:val="20"/>
          <w:rtl w:val="false"/>
        </w:rPr>
        <w:t xml:space="preserve">Jean-Denis Bredin, </w:t>
      </w:r>
      <w:r>
        <w:rPr>
          <w:rFonts w:ascii="David" w:cs="David" w:eastAsia="David" w:hAnsi="David"/>
          <w:i/>
          <w:iCs/>
          <w:sz w:val="20"/>
          <w:szCs w:val="20"/>
          <w:rtl w:val="false"/>
        </w:rPr>
        <w:t xml:space="preserve">The Affair: The Case of Alfred Dreyfus</w:t>
      </w:r>
      <w:r>
        <w:rPr>
          <w:rFonts w:ascii="David" w:cs="David" w:eastAsia="David" w:hAnsi="David"/>
          <w:sz w:val="20"/>
          <w:szCs w:val="20"/>
          <w:rtl w:val="false"/>
        </w:rPr>
        <w:t xml:space="preserve">, trans. Jeffrey Mehlman (New York: George Braziller, 1986), pp. 59-95; Hyman, </w:t>
      </w:r>
      <w:r>
        <w:rPr>
          <w:rFonts w:ascii="David" w:cs="David" w:eastAsia="David" w:hAnsi="David"/>
          <w:i/>
          <w:iCs/>
          <w:sz w:val="20"/>
          <w:szCs w:val="20"/>
          <w:rtl w:val="false"/>
        </w:rPr>
        <w:t xml:space="preserve">The Jews of Modern France</w:t>
      </w:r>
      <w:r>
        <w:rPr>
          <w:rFonts w:ascii="David" w:cs="David" w:eastAsia="David" w:hAnsi="David"/>
          <w:sz w:val="20"/>
          <w:szCs w:val="20"/>
          <w:rtl w:val="false"/>
        </w:rPr>
        <w:t xml:space="preserve">, pp. 99-102.</w:t>
      </w:r>
    </w:p>
  </w:footnote>
  <w:footnote w:id="55">
    <w:p>
      <w:pPr>
        <w:bidi w:val="false"/>
        <w:spacing w:after="40" w:line="240" w:lineRule="auto"/>
        <w:jc w:val="left"/>
      </w:pPr>
      <w:r>
        <w:rPr>
          <w:rStyle w:val="FootnoteReference"/>
        </w:rPr>
        <w:footnoteRef/>
      </w:r>
      <w:r>
        <w:rPr>
          <w:rFonts w:ascii="David" w:cs="David" w:eastAsia="David" w:hAnsi="David"/>
          <w:sz w:val="20"/>
          <w:szCs w:val="20"/>
        </w:rPr>
        <w:t xml:space="preserve"> </w:t>
      </w:r>
      <w:r>
        <w:rPr>
          <w:rFonts w:ascii="David" w:cs="David" w:eastAsia="David" w:hAnsi="David"/>
          <w:sz w:val="20"/>
          <w:szCs w:val="20"/>
          <w:rtl w:val="false"/>
        </w:rPr>
        <w:t xml:space="preserve">Bredin, </w:t>
      </w:r>
      <w:r>
        <w:rPr>
          <w:rFonts w:ascii="David" w:cs="David" w:eastAsia="David" w:hAnsi="David"/>
          <w:i/>
          <w:iCs/>
          <w:sz w:val="20"/>
          <w:szCs w:val="20"/>
          <w:rtl w:val="false"/>
        </w:rPr>
        <w:t xml:space="preserve">The Affair</w:t>
      </w:r>
      <w:r>
        <w:rPr>
          <w:rFonts w:ascii="David" w:cs="David" w:eastAsia="David" w:hAnsi="David"/>
          <w:sz w:val="20"/>
          <w:szCs w:val="20"/>
          <w:rtl w:val="false"/>
        </w:rPr>
        <w:t xml:space="preserve">, pp. 96-128; Ruth Harris, </w:t>
      </w:r>
      <w:r>
        <w:rPr>
          <w:rFonts w:ascii="David" w:cs="David" w:eastAsia="David" w:hAnsi="David"/>
          <w:i/>
          <w:iCs/>
          <w:sz w:val="20"/>
          <w:szCs w:val="20"/>
          <w:rtl w:val="false"/>
        </w:rPr>
        <w:t xml:space="preserve">Dreyfus: Politics, Emotion, and the Scandal of the Century</w:t>
      </w:r>
      <w:r>
        <w:rPr>
          <w:rFonts w:ascii="David" w:cs="David" w:eastAsia="David" w:hAnsi="David"/>
          <w:sz w:val="20"/>
          <w:szCs w:val="20"/>
          <w:rtl w:val="false"/>
        </w:rPr>
        <w:t xml:space="preserve"> (New York: Metropolitan Books, 2010), pp. 20-43.</w:t>
      </w:r>
    </w:p>
  </w:footnote>
  <w:footnote w:id="56">
    <w:p>
      <w:pPr>
        <w:bidi w:val="false"/>
        <w:spacing w:after="40" w:line="240" w:lineRule="auto"/>
        <w:jc w:val="left"/>
      </w:pPr>
      <w:r>
        <w:rPr>
          <w:rStyle w:val="FootnoteReference"/>
        </w:rPr>
        <w:footnoteRef/>
      </w:r>
      <w:r>
        <w:rPr>
          <w:rFonts w:ascii="David" w:cs="David" w:eastAsia="David" w:hAnsi="David"/>
          <w:sz w:val="20"/>
          <w:szCs w:val="20"/>
        </w:rPr>
        <w:t xml:space="preserve"> </w:t>
      </w:r>
      <w:r>
        <w:rPr>
          <w:rFonts w:ascii="David" w:cs="David" w:eastAsia="David" w:hAnsi="David"/>
          <w:sz w:val="20"/>
          <w:szCs w:val="20"/>
          <w:rtl w:val="false"/>
        </w:rPr>
        <w:t xml:space="preserve">Bernard Lazare, </w:t>
      </w:r>
      <w:r>
        <w:rPr>
          <w:rFonts w:ascii="David" w:cs="David" w:eastAsia="David" w:hAnsi="David"/>
          <w:i/>
          <w:iCs/>
          <w:sz w:val="20"/>
          <w:szCs w:val="20"/>
          <w:rtl w:val="false"/>
        </w:rPr>
        <w:t xml:space="preserve">Une erreur judiciaire: La vérité sur l'affaire Dreyfus</w:t>
      </w:r>
      <w:r>
        <w:rPr>
          <w:rFonts w:ascii="David" w:cs="David" w:eastAsia="David" w:hAnsi="David"/>
          <w:sz w:val="20"/>
          <w:szCs w:val="20"/>
          <w:rtl w:val="false"/>
        </w:rPr>
        <w:t xml:space="preserve"> (Brussels: Veuve Monnom, 1896); Bredin, </w:t>
      </w:r>
      <w:r>
        <w:rPr>
          <w:rFonts w:ascii="David" w:cs="David" w:eastAsia="David" w:hAnsi="David"/>
          <w:i/>
          <w:iCs/>
          <w:sz w:val="20"/>
          <w:szCs w:val="20"/>
          <w:rtl w:val="false"/>
        </w:rPr>
        <w:t xml:space="preserve">The Affair</w:t>
      </w:r>
      <w:r>
        <w:rPr>
          <w:rFonts w:ascii="David" w:cs="David" w:eastAsia="David" w:hAnsi="David"/>
          <w:sz w:val="20"/>
          <w:szCs w:val="20"/>
          <w:rtl w:val="false"/>
        </w:rPr>
        <w:t xml:space="preserve">, pp. 129-247.</w:t>
      </w:r>
    </w:p>
  </w:footnote>
  <w:footnote w:id="57">
    <w:p>
      <w:pPr>
        <w:bidi w:val="false"/>
        <w:spacing w:after="40" w:line="240" w:lineRule="auto"/>
        <w:jc w:val="left"/>
      </w:pPr>
      <w:r>
        <w:rPr>
          <w:rStyle w:val="FootnoteReference"/>
        </w:rPr>
        <w:footnoteRef/>
      </w:r>
      <w:r>
        <w:rPr>
          <w:rFonts w:ascii="David" w:cs="David" w:eastAsia="David" w:hAnsi="David"/>
          <w:sz w:val="20"/>
          <w:szCs w:val="20"/>
        </w:rPr>
        <w:t xml:space="preserve"> </w:t>
      </w:r>
      <w:r>
        <w:rPr>
          <w:rFonts w:ascii="David" w:cs="David" w:eastAsia="David" w:hAnsi="David"/>
          <w:sz w:val="20"/>
          <w:szCs w:val="20"/>
          <w:rtl w:val="false"/>
        </w:rPr>
        <w:t xml:space="preserve">Émile Zola, "J'accuse...! Lettre au Président de la République," </w:t>
      </w:r>
      <w:r>
        <w:rPr>
          <w:rFonts w:ascii="David" w:cs="David" w:eastAsia="David" w:hAnsi="David"/>
          <w:i/>
          <w:iCs/>
          <w:sz w:val="20"/>
          <w:szCs w:val="20"/>
          <w:rtl w:val="false"/>
        </w:rPr>
        <w:t xml:space="preserve">L'Aurore</w:t>
      </w:r>
      <w:r>
        <w:rPr>
          <w:rFonts w:ascii="David" w:cs="David" w:eastAsia="David" w:hAnsi="David"/>
          <w:sz w:val="20"/>
          <w:szCs w:val="20"/>
          <w:rtl w:val="false"/>
        </w:rPr>
        <w:t xml:space="preserve">, 13 January 1898; Wilson, </w:t>
      </w:r>
      <w:r>
        <w:rPr>
          <w:rFonts w:ascii="David" w:cs="David" w:eastAsia="David" w:hAnsi="David"/>
          <w:i/>
          <w:iCs/>
          <w:sz w:val="20"/>
          <w:szCs w:val="20"/>
          <w:rtl w:val="false"/>
        </w:rPr>
        <w:t xml:space="preserve">Ideology and Experience</w:t>
      </w:r>
      <w:r>
        <w:rPr>
          <w:rFonts w:ascii="David" w:cs="David" w:eastAsia="David" w:hAnsi="David"/>
          <w:sz w:val="20"/>
          <w:szCs w:val="20"/>
          <w:rtl w:val="false"/>
        </w:rPr>
        <w:t xml:space="preserve">, pp. 106-124; Harris, </w:t>
      </w:r>
      <w:r>
        <w:rPr>
          <w:rFonts w:ascii="David" w:cs="David" w:eastAsia="David" w:hAnsi="David"/>
          <w:i/>
          <w:iCs/>
          <w:sz w:val="20"/>
          <w:szCs w:val="20"/>
          <w:rtl w:val="false"/>
        </w:rPr>
        <w:t xml:space="preserve">Dreyfus</w:t>
      </w:r>
      <w:r>
        <w:rPr>
          <w:rFonts w:ascii="David" w:cs="David" w:eastAsia="David" w:hAnsi="David"/>
          <w:sz w:val="20"/>
          <w:szCs w:val="20"/>
          <w:rtl w:val="false"/>
        </w:rPr>
        <w:t xml:space="preserve">, pp. 104-160.</w:t>
      </w:r>
    </w:p>
  </w:footnote>
  <w:footnote w:id="58">
    <w:p>
      <w:pPr>
        <w:bidi w:val="false"/>
        <w:spacing w:after="40" w:line="240" w:lineRule="auto"/>
        <w:jc w:val="left"/>
      </w:pPr>
      <w:r>
        <w:rPr>
          <w:rStyle w:val="FootnoteReference"/>
        </w:rPr>
        <w:footnoteRef/>
      </w:r>
      <w:r>
        <w:rPr>
          <w:rFonts w:ascii="David" w:cs="David" w:eastAsia="David" w:hAnsi="David"/>
          <w:sz w:val="20"/>
          <w:szCs w:val="20"/>
        </w:rPr>
        <w:t xml:space="preserve"> </w:t>
      </w:r>
      <w:r>
        <w:rPr>
          <w:rFonts w:ascii="David" w:cs="David" w:eastAsia="David" w:hAnsi="David"/>
          <w:sz w:val="20"/>
          <w:szCs w:val="20"/>
          <w:rtl/>
        </w:rPr>
        <w:t xml:space="preserve">מירון, </w:t>
      </w:r>
      <w:r>
        <w:rPr>
          <w:rFonts w:ascii="David" w:cs="David" w:eastAsia="David" w:hAnsi="David"/>
          <w:b/>
          <w:bCs/>
          <w:i w:val="false"/>
          <w:iCs w:val="false"/>
          <w:sz w:val="20"/>
          <w:szCs w:val="20"/>
          <w:rtl/>
        </w:rPr>
        <w:t xml:space="preserve">מדריך למידה</w:t>
      </w:r>
      <w:r>
        <w:rPr>
          <w:rFonts w:ascii="David" w:cs="David" w:eastAsia="David" w:hAnsi="David"/>
          <w:sz w:val="20"/>
          <w:szCs w:val="20"/>
          <w:rtl/>
        </w:rPr>
        <w:t xml:space="preserve">, עמ' 63; Bredin, </w:t>
      </w:r>
      <w:r>
        <w:rPr>
          <w:rFonts w:ascii="David" w:cs="David" w:eastAsia="David" w:hAnsi="David"/>
          <w:i/>
          <w:iCs/>
          <w:sz w:val="20"/>
          <w:szCs w:val="20"/>
          <w:rtl w:val="false"/>
        </w:rPr>
        <w:t xml:space="preserve">The Affair</w:t>
      </w:r>
      <w:r>
        <w:rPr>
          <w:rFonts w:ascii="David" w:cs="David" w:eastAsia="David" w:hAnsi="David"/>
          <w:sz w:val="20"/>
          <w:szCs w:val="20"/>
          <w:rtl w:val="false"/>
        </w:rPr>
        <w:t xml:space="preserve">, pp. 379-485; Hyman, </w:t>
      </w:r>
      <w:r>
        <w:rPr>
          <w:rFonts w:ascii="David" w:cs="David" w:eastAsia="David" w:hAnsi="David"/>
          <w:i/>
          <w:iCs/>
          <w:sz w:val="20"/>
          <w:szCs w:val="20"/>
          <w:rtl w:val="false"/>
        </w:rPr>
        <w:t xml:space="preserve">The Jews of Modern France</w:t>
      </w:r>
      <w:r>
        <w:rPr>
          <w:rFonts w:ascii="David" w:cs="David" w:eastAsia="David" w:hAnsi="David"/>
          <w:sz w:val="20"/>
          <w:szCs w:val="20"/>
          <w:rtl w:val="false"/>
        </w:rPr>
        <w:t xml:space="preserve">, pp. 106-114.</w:t>
      </w:r>
    </w:p>
  </w:footnote>
  <w:footnote w:id="59">
    <w:p>
      <w:pPr>
        <w:bidi/>
        <w:spacing w:after="40" w:line="240" w:lineRule="auto"/>
        <w:jc w:val="both"/>
      </w:pPr>
      <w:r>
        <w:rPr>
          <w:rStyle w:val="FootnoteReference"/>
        </w:rPr>
        <w:footnoteRef/>
      </w:r>
      <w:r>
        <w:rPr>
          <w:rFonts w:ascii="David" w:cs="David" w:eastAsia="David" w:hAnsi="David"/>
          <w:sz w:val="20"/>
          <w:szCs w:val="20"/>
        </w:rPr>
        <w:t xml:space="preserve"> </w:t>
      </w:r>
      <w:r>
        <w:rPr>
          <w:rFonts w:ascii="David" w:cs="David" w:eastAsia="David" w:hAnsi="David"/>
          <w:sz w:val="20"/>
          <w:szCs w:val="20"/>
          <w:rtl/>
        </w:rPr>
        <w:t xml:space="preserve">אבינרי, </w:t>
      </w:r>
      <w:r>
        <w:rPr>
          <w:rFonts w:ascii="David" w:cs="David" w:eastAsia="David" w:hAnsi="David"/>
          <w:b/>
          <w:bCs/>
          <w:i w:val="false"/>
          <w:iCs w:val="false"/>
          <w:sz w:val="20"/>
          <w:szCs w:val="20"/>
          <w:rtl/>
        </w:rPr>
        <w:t xml:space="preserve">הרצל</w:t>
      </w:r>
      <w:r>
        <w:rPr>
          <w:rFonts w:ascii="David" w:cs="David" w:eastAsia="David" w:hAnsi="David"/>
          <w:sz w:val="20"/>
          <w:szCs w:val="20"/>
          <w:rtl/>
        </w:rPr>
        <w:t xml:space="preserve">, עמ' 84-92; גדעון קוץ, "ראשיתה של פרשת דרייפוס בעיתונות העברית והיהודית באירופה: כוחן של אידאולוגיות", </w:t>
      </w:r>
      <w:r>
        <w:rPr>
          <w:rFonts w:ascii="David" w:cs="David" w:eastAsia="David" w:hAnsi="David"/>
          <w:b/>
          <w:bCs/>
          <w:i w:val="false"/>
          <w:iCs w:val="false"/>
          <w:sz w:val="20"/>
          <w:szCs w:val="20"/>
          <w:rtl/>
        </w:rPr>
        <w:t xml:space="preserve">קשר</w:t>
      </w:r>
      <w:r>
        <w:rPr>
          <w:rFonts w:ascii="David" w:cs="David" w:eastAsia="David" w:hAnsi="David"/>
          <w:sz w:val="20"/>
          <w:szCs w:val="20"/>
          <w:rtl/>
        </w:rPr>
        <w:t xml:space="preserve"> 46 (2014), עמ' 8; Kornberg, </w:t>
      </w:r>
      <w:r>
        <w:rPr>
          <w:rFonts w:ascii="David" w:cs="David" w:eastAsia="David" w:hAnsi="David"/>
          <w:i/>
          <w:iCs/>
          <w:sz w:val="20"/>
          <w:szCs w:val="20"/>
          <w:rtl/>
        </w:rPr>
        <w:t xml:space="preserve">Theodor Herzl</w:t>
      </w:r>
      <w:r>
        <w:rPr>
          <w:rFonts w:ascii="David" w:cs="David" w:eastAsia="David" w:hAnsi="David"/>
          <w:sz w:val="20"/>
          <w:szCs w:val="20"/>
          <w:rtl/>
        </w:rPr>
        <w:t xml:space="preserve">, pp. 183-194.</w:t>
      </w:r>
    </w:p>
  </w:footnote>
  <w:footnote w:id="60">
    <w:p>
      <w:pPr>
        <w:bidi w:val="false"/>
        <w:spacing w:after="40" w:line="240" w:lineRule="auto"/>
        <w:jc w:val="left"/>
      </w:pPr>
      <w:r>
        <w:rPr>
          <w:rStyle w:val="FootnoteReference"/>
        </w:rPr>
        <w:footnoteRef/>
      </w:r>
      <w:r>
        <w:rPr>
          <w:rFonts w:ascii="David" w:cs="David" w:eastAsia="David" w:hAnsi="David"/>
          <w:sz w:val="20"/>
          <w:szCs w:val="20"/>
        </w:rPr>
        <w:t xml:space="preserve"> </w:t>
      </w:r>
      <w:r>
        <w:rPr>
          <w:rFonts w:ascii="David" w:cs="David" w:eastAsia="David" w:hAnsi="David"/>
          <w:sz w:val="20"/>
          <w:szCs w:val="20"/>
          <w:rtl/>
        </w:rPr>
        <w:t xml:space="preserve">הרצל, </w:t>
      </w:r>
      <w:r>
        <w:rPr>
          <w:rFonts w:ascii="David" w:cs="David" w:eastAsia="David" w:hAnsi="David"/>
          <w:b/>
          <w:bCs/>
          <w:i w:val="false"/>
          <w:iCs w:val="false"/>
          <w:sz w:val="20"/>
          <w:szCs w:val="20"/>
          <w:rtl/>
        </w:rPr>
        <w:t xml:space="preserve">עניין היהודים</w:t>
      </w:r>
      <w:r>
        <w:rPr>
          <w:rFonts w:ascii="David" w:cs="David" w:eastAsia="David" w:hAnsi="David"/>
          <w:sz w:val="20"/>
          <w:szCs w:val="20"/>
          <w:rtl/>
        </w:rPr>
        <w:t xml:space="preserve">, כרך א; Herzl, </w:t>
      </w:r>
      <w:r>
        <w:rPr>
          <w:rFonts w:ascii="David" w:cs="David" w:eastAsia="David" w:hAnsi="David"/>
          <w:i/>
          <w:iCs/>
          <w:sz w:val="20"/>
          <w:szCs w:val="20"/>
          <w:rtl w:val="false"/>
        </w:rPr>
        <w:t xml:space="preserve">Complete Diaries</w:t>
      </w:r>
      <w:r>
        <w:rPr>
          <w:rFonts w:ascii="David" w:cs="David" w:eastAsia="David" w:hAnsi="David"/>
          <w:sz w:val="20"/>
          <w:szCs w:val="20"/>
          <w:rtl w:val="false"/>
        </w:rPr>
        <w:t xml:space="preserve">, vol. 1, pp. 3-130.</w:t>
      </w:r>
    </w:p>
  </w:footnote>
  <w:footnote w:id="61">
    <w:p>
      <w:pPr>
        <w:bidi/>
        <w:spacing w:after="40" w:line="240" w:lineRule="auto"/>
        <w:jc w:val="both"/>
      </w:pPr>
      <w:r>
        <w:rPr>
          <w:rStyle w:val="FootnoteReference"/>
        </w:rPr>
        <w:footnoteRef/>
      </w:r>
      <w:r>
        <w:rPr>
          <w:rFonts w:ascii="David" w:cs="David" w:eastAsia="David" w:hAnsi="David"/>
          <w:sz w:val="20"/>
          <w:szCs w:val="20"/>
        </w:rPr>
        <w:t xml:space="preserve"> </w:t>
      </w:r>
      <w:r>
        <w:rPr>
          <w:rFonts w:ascii="David" w:cs="David" w:eastAsia="David" w:hAnsi="David"/>
          <w:sz w:val="20"/>
          <w:szCs w:val="20"/>
          <w:rtl/>
        </w:rPr>
        <w:t xml:space="preserve">דוד ויטל, </w:t>
      </w:r>
      <w:r>
        <w:rPr>
          <w:rFonts w:ascii="David" w:cs="David" w:eastAsia="David" w:hAnsi="David"/>
          <w:b/>
          <w:bCs/>
          <w:i w:val="false"/>
          <w:iCs w:val="false"/>
          <w:sz w:val="20"/>
          <w:szCs w:val="20"/>
          <w:rtl/>
        </w:rPr>
        <w:t xml:space="preserve">המהפכה הציונית: ראשית התנועה</w:t>
      </w:r>
      <w:r>
        <w:rPr>
          <w:rFonts w:ascii="David" w:cs="David" w:eastAsia="David" w:hAnsi="David"/>
          <w:sz w:val="20"/>
          <w:szCs w:val="20"/>
          <w:rtl/>
        </w:rPr>
        <w:t xml:space="preserve"> (תל אביב: עם עובד, 1978), עמ' 217-262; שלמה אבינרי, </w:t>
      </w:r>
      <w:r>
        <w:rPr>
          <w:rFonts w:ascii="David" w:cs="David" w:eastAsia="David" w:hAnsi="David"/>
          <w:b/>
          <w:bCs/>
          <w:i w:val="false"/>
          <w:iCs w:val="false"/>
          <w:sz w:val="20"/>
          <w:szCs w:val="20"/>
          <w:rtl/>
        </w:rPr>
        <w:t xml:space="preserve">הרעיון הציוני לגווניו: פרקים בתולדות המחשבה המדינית היהודית</w:t>
      </w:r>
      <w:r>
        <w:rPr>
          <w:rFonts w:ascii="David" w:cs="David" w:eastAsia="David" w:hAnsi="David"/>
          <w:sz w:val="20"/>
          <w:szCs w:val="20"/>
          <w:rtl/>
        </w:rPr>
        <w:t xml:space="preserve"> (תל אביב: עם עובד, 1980), עמ' 107-124; Herzl, </w:t>
      </w:r>
      <w:r>
        <w:rPr>
          <w:rFonts w:ascii="David" w:cs="David" w:eastAsia="David" w:hAnsi="David"/>
          <w:i/>
          <w:iCs/>
          <w:sz w:val="20"/>
          <w:szCs w:val="20"/>
          <w:rtl/>
        </w:rPr>
        <w:t xml:space="preserve">The Jewish State</w:t>
      </w:r>
      <w:r>
        <w:rPr>
          <w:rFonts w:ascii="David" w:cs="David" w:eastAsia="David" w:hAnsi="David"/>
          <w:sz w:val="20"/>
          <w:szCs w:val="20"/>
          <w:rtl/>
        </w:rPr>
        <w:t xml:space="preserve">, pp. 75-100.</w:t>
      </w:r>
    </w:p>
  </w:footnote>
  <w:footnote w:id="62">
    <w:p>
      <w:pPr>
        <w:bidi/>
        <w:spacing w:after="40" w:line="240" w:lineRule="auto"/>
        <w:jc w:val="both"/>
      </w:pPr>
      <w:r>
        <w:rPr>
          <w:rStyle w:val="FootnoteReference"/>
        </w:rPr>
        <w:footnoteRef/>
      </w:r>
      <w:r>
        <w:rPr>
          <w:rFonts w:ascii="David" w:cs="David" w:eastAsia="David" w:hAnsi="David"/>
          <w:sz w:val="20"/>
          <w:szCs w:val="20"/>
        </w:rPr>
        <w:t xml:space="preserve"> </w:t>
      </w:r>
      <w:r>
        <w:rPr>
          <w:rFonts w:ascii="David" w:cs="David" w:eastAsia="David" w:hAnsi="David"/>
          <w:sz w:val="20"/>
          <w:szCs w:val="20"/>
          <w:rtl/>
        </w:rPr>
        <w:t xml:space="preserve">יוסף לנג, "תגובות העיתונות העברית בארץ ישראל על פרשת דרייפוס (1894-1906)", </w:t>
      </w:r>
      <w:r>
        <w:rPr>
          <w:rFonts w:ascii="David" w:cs="David" w:eastAsia="David" w:hAnsi="David"/>
          <w:b/>
          <w:bCs/>
          <w:i w:val="false"/>
          <w:iCs w:val="false"/>
          <w:sz w:val="20"/>
          <w:szCs w:val="20"/>
          <w:rtl/>
        </w:rPr>
        <w:t xml:space="preserve">קשר</w:t>
      </w:r>
      <w:r>
        <w:rPr>
          <w:rFonts w:ascii="David" w:cs="David" w:eastAsia="David" w:hAnsi="David"/>
          <w:sz w:val="20"/>
          <w:szCs w:val="20"/>
          <w:rtl/>
        </w:rPr>
        <w:t xml:space="preserve"> 46 (2014), עמ' 21; Elon, </w:t>
      </w:r>
      <w:r>
        <w:rPr>
          <w:rFonts w:ascii="David" w:cs="David" w:eastAsia="David" w:hAnsi="David"/>
          <w:i/>
          <w:iCs/>
          <w:sz w:val="20"/>
          <w:szCs w:val="20"/>
          <w:rtl/>
        </w:rPr>
        <w:t xml:space="preserve">Herzl</w:t>
      </w:r>
      <w:r>
        <w:rPr>
          <w:rFonts w:ascii="David" w:cs="David" w:eastAsia="David" w:hAnsi="David"/>
          <w:sz w:val="20"/>
          <w:szCs w:val="20"/>
          <w:rtl/>
        </w:rPr>
        <w:t xml:space="preserve">, pp. 253-260; Hyman, </w:t>
      </w:r>
      <w:r>
        <w:rPr>
          <w:rFonts w:ascii="David" w:cs="David" w:eastAsia="David" w:hAnsi="David"/>
          <w:i/>
          <w:iCs/>
          <w:sz w:val="20"/>
          <w:szCs w:val="20"/>
          <w:rtl/>
        </w:rPr>
        <w:t xml:space="preserve">The Jews of Modern France</w:t>
      </w:r>
      <w:r>
        <w:rPr>
          <w:rFonts w:ascii="David" w:cs="David" w:eastAsia="David" w:hAnsi="David"/>
          <w:sz w:val="20"/>
          <w:szCs w:val="20"/>
          <w:rtl/>
        </w:rPr>
        <w:t xml:space="preserve">, pp. 104-106.</w:t>
      </w:r>
    </w:p>
  </w:footnote>
  <w:footnote w:id="63">
    <w:p>
      <w:pPr>
        <w:bidi/>
        <w:spacing w:after="40" w:line="240" w:lineRule="auto"/>
        <w:jc w:val="both"/>
      </w:pPr>
      <w:r>
        <w:rPr>
          <w:rStyle w:val="FootnoteReference"/>
        </w:rPr>
        <w:footnoteRef/>
      </w:r>
      <w:r>
        <w:rPr>
          <w:rFonts w:ascii="David" w:cs="David" w:eastAsia="David" w:hAnsi="David"/>
          <w:sz w:val="20"/>
          <w:szCs w:val="20"/>
        </w:rPr>
        <w:t xml:space="preserve"> </w:t>
      </w:r>
      <w:r>
        <w:rPr>
          <w:rFonts w:ascii="David" w:cs="David" w:eastAsia="David" w:hAnsi="David"/>
          <w:sz w:val="20"/>
          <w:szCs w:val="20"/>
          <w:rtl/>
        </w:rPr>
        <w:t xml:space="preserve">קוץ, "ראשיתה של פרשת דרייפוס", עמ' 14-15; לנג, "תגובות העיתונות העברית", עמ' 18-19.</w:t>
      </w:r>
    </w:p>
  </w:footnote>
  <w:footnote w:id="64">
    <w:p>
      <w:pPr>
        <w:bidi/>
        <w:spacing w:after="40" w:line="240" w:lineRule="auto"/>
        <w:jc w:val="both"/>
      </w:pPr>
      <w:r>
        <w:rPr>
          <w:rStyle w:val="FootnoteReference"/>
        </w:rPr>
        <w:footnoteRef/>
      </w:r>
      <w:r>
        <w:rPr>
          <w:rFonts w:ascii="David" w:cs="David" w:eastAsia="David" w:hAnsi="David"/>
          <w:sz w:val="20"/>
          <w:szCs w:val="20"/>
        </w:rPr>
        <w:t xml:space="preserve"> </w:t>
      </w:r>
      <w:r>
        <w:rPr>
          <w:rFonts w:ascii="David" w:cs="David" w:eastAsia="David" w:hAnsi="David"/>
          <w:sz w:val="20"/>
          <w:szCs w:val="20"/>
          <w:rtl/>
        </w:rPr>
        <w:t xml:space="preserve">אגניישקה פרידריך, "פרשת דרייפוס וכתב העת הוורשאי Rola בין השנים 1894-1906", </w:t>
      </w:r>
      <w:r>
        <w:rPr>
          <w:rFonts w:ascii="David" w:cs="David" w:eastAsia="David" w:hAnsi="David"/>
          <w:b/>
          <w:bCs/>
          <w:i w:val="false"/>
          <w:iCs w:val="false"/>
          <w:sz w:val="20"/>
          <w:szCs w:val="20"/>
          <w:rtl/>
        </w:rPr>
        <w:t xml:space="preserve">קשר</w:t>
      </w:r>
      <w:r>
        <w:rPr>
          <w:rFonts w:ascii="David" w:cs="David" w:eastAsia="David" w:hAnsi="David"/>
          <w:sz w:val="20"/>
          <w:szCs w:val="20"/>
          <w:rtl/>
        </w:rPr>
        <w:t xml:space="preserve"> 46 (2014), עמ' 39-43.</w:t>
      </w:r>
    </w:p>
  </w:footnote>
  <w:footnote w:id="65">
    <w:p>
      <w:pPr>
        <w:bidi/>
        <w:spacing w:after="40" w:line="240" w:lineRule="auto"/>
        <w:jc w:val="both"/>
      </w:pPr>
      <w:r>
        <w:rPr>
          <w:rStyle w:val="FootnoteReference"/>
        </w:rPr>
        <w:footnoteRef/>
      </w:r>
      <w:r>
        <w:rPr>
          <w:rFonts w:ascii="David" w:cs="David" w:eastAsia="David" w:hAnsi="David"/>
          <w:sz w:val="20"/>
          <w:szCs w:val="20"/>
        </w:rPr>
        <w:t xml:space="preserve"> </w:t>
      </w:r>
      <w:r>
        <w:rPr>
          <w:rFonts w:ascii="David" w:cs="David" w:eastAsia="David" w:hAnsi="David"/>
          <w:sz w:val="20"/>
          <w:szCs w:val="20"/>
          <w:rtl/>
        </w:rPr>
        <w:t xml:space="preserve">שאול סחייק, "פרשת דרייפוס בעיתונות הערבית", </w:t>
      </w:r>
      <w:r>
        <w:rPr>
          <w:rFonts w:ascii="David" w:cs="David" w:eastAsia="David" w:hAnsi="David"/>
          <w:b/>
          <w:bCs/>
          <w:i w:val="false"/>
          <w:iCs w:val="false"/>
          <w:sz w:val="20"/>
          <w:szCs w:val="20"/>
          <w:rtl/>
        </w:rPr>
        <w:t xml:space="preserve">מיכאל: מאסף לתולדות היהודים בתפוצות</w:t>
      </w:r>
      <w:r>
        <w:rPr>
          <w:rFonts w:ascii="David" w:cs="David" w:eastAsia="David" w:hAnsi="David"/>
          <w:sz w:val="20"/>
          <w:szCs w:val="20"/>
          <w:rtl/>
        </w:rPr>
        <w:t xml:space="preserve"> יד (תשנ"ז), עמ' ריג-ריד.</w:t>
      </w:r>
    </w:p>
  </w:footnote>
  <w:footnote w:id="66">
    <w:p>
      <w:pPr>
        <w:bidi w:val="false"/>
        <w:spacing w:after="40" w:line="240" w:lineRule="auto"/>
        <w:jc w:val="left"/>
      </w:pPr>
      <w:r>
        <w:rPr>
          <w:rStyle w:val="FootnoteReference"/>
        </w:rPr>
        <w:footnoteRef/>
      </w:r>
      <w:r>
        <w:rPr>
          <w:rFonts w:ascii="David" w:cs="David" w:eastAsia="David" w:hAnsi="David"/>
          <w:sz w:val="20"/>
          <w:szCs w:val="20"/>
        </w:rPr>
        <w:t xml:space="preserve"> </w:t>
      </w:r>
      <w:r>
        <w:rPr>
          <w:rFonts w:ascii="David" w:cs="David" w:eastAsia="David" w:hAnsi="David"/>
          <w:sz w:val="20"/>
          <w:szCs w:val="20"/>
          <w:rtl w:val="false"/>
        </w:rPr>
        <w:t xml:space="preserve">Cahm, </w:t>
      </w:r>
      <w:r>
        <w:rPr>
          <w:rFonts w:ascii="David" w:cs="David" w:eastAsia="David" w:hAnsi="David"/>
          <w:i/>
          <w:iCs/>
          <w:sz w:val="20"/>
          <w:szCs w:val="20"/>
          <w:rtl w:val="false"/>
        </w:rPr>
        <w:t xml:space="preserve">The Dreyfus Affair</w:t>
      </w:r>
      <w:r>
        <w:rPr>
          <w:rFonts w:ascii="David" w:cs="David" w:eastAsia="David" w:hAnsi="David"/>
          <w:sz w:val="20"/>
          <w:szCs w:val="20"/>
          <w:rtl w:val="false"/>
        </w:rPr>
        <w:t xml:space="preserve">, pp. 49-68.</w:t>
      </w:r>
    </w:p>
  </w:footnote>
  <w:footnote w:id="67">
    <w:p>
      <w:pPr>
        <w:bidi w:val="false"/>
        <w:spacing w:after="40" w:line="240" w:lineRule="auto"/>
        <w:jc w:val="left"/>
      </w:pPr>
      <w:r>
        <w:rPr>
          <w:rStyle w:val="FootnoteReference"/>
        </w:rPr>
        <w:footnoteRef/>
      </w:r>
      <w:r>
        <w:rPr>
          <w:rFonts w:ascii="David" w:cs="David" w:eastAsia="David" w:hAnsi="David"/>
          <w:sz w:val="20"/>
          <w:szCs w:val="20"/>
        </w:rPr>
        <w:t xml:space="preserve"> </w:t>
      </w:r>
      <w:r>
        <w:rPr>
          <w:rFonts w:ascii="David" w:cs="David" w:eastAsia="David" w:hAnsi="David"/>
          <w:sz w:val="20"/>
          <w:szCs w:val="20"/>
          <w:rtl/>
        </w:rPr>
        <w:t xml:space="preserve">אבינרי, </w:t>
      </w:r>
      <w:r>
        <w:rPr>
          <w:rFonts w:ascii="David" w:cs="David" w:eastAsia="David" w:hAnsi="David"/>
          <w:b/>
          <w:bCs/>
          <w:i w:val="false"/>
          <w:iCs w:val="false"/>
          <w:sz w:val="20"/>
          <w:szCs w:val="20"/>
          <w:rtl/>
        </w:rPr>
        <w:t xml:space="preserve">הרצל</w:t>
      </w:r>
      <w:r>
        <w:rPr>
          <w:rFonts w:ascii="David" w:cs="David" w:eastAsia="David" w:hAnsi="David"/>
          <w:sz w:val="20"/>
          <w:szCs w:val="20"/>
          <w:rtl/>
        </w:rPr>
        <w:t xml:space="preserve">, עמ' 86-90; Herzl, "Zionism," pp. 1-8.</w:t>
      </w:r>
    </w:p>
  </w:footnote>
  <w:footnote w:id="68">
    <w:p>
      <w:pPr>
        <w:bidi w:val="false"/>
        <w:spacing w:after="40" w:line="240" w:lineRule="auto"/>
        <w:jc w:val="left"/>
      </w:pPr>
      <w:r>
        <w:rPr>
          <w:rStyle w:val="FootnoteReference"/>
        </w:rPr>
        <w:footnoteRef/>
      </w:r>
      <w:r>
        <w:rPr>
          <w:rFonts w:ascii="David" w:cs="David" w:eastAsia="David" w:hAnsi="David"/>
          <w:sz w:val="20"/>
          <w:szCs w:val="20"/>
        </w:rPr>
        <w:t xml:space="preserve"> </w:t>
      </w:r>
      <w:r>
        <w:rPr>
          <w:rFonts w:ascii="David" w:cs="David" w:eastAsia="David" w:hAnsi="David"/>
          <w:sz w:val="20"/>
          <w:szCs w:val="20"/>
          <w:rtl w:val="false"/>
        </w:rPr>
        <w:t xml:space="preserve">Bein, </w:t>
      </w:r>
      <w:r>
        <w:rPr>
          <w:rFonts w:ascii="David" w:cs="David" w:eastAsia="David" w:hAnsi="David"/>
          <w:i/>
          <w:iCs/>
          <w:sz w:val="20"/>
          <w:szCs w:val="20"/>
          <w:rtl w:val="false"/>
        </w:rPr>
        <w:t xml:space="preserve">Theodore Herzl</w:t>
      </w:r>
      <w:r>
        <w:rPr>
          <w:rFonts w:ascii="David" w:cs="David" w:eastAsia="David" w:hAnsi="David"/>
          <w:sz w:val="20"/>
          <w:szCs w:val="20"/>
          <w:rtl w:val="false"/>
        </w:rPr>
        <w:t xml:space="preserve">, pp. 95-124; Elon, </w:t>
      </w:r>
      <w:r>
        <w:rPr>
          <w:rFonts w:ascii="David" w:cs="David" w:eastAsia="David" w:hAnsi="David"/>
          <w:i/>
          <w:iCs/>
          <w:sz w:val="20"/>
          <w:szCs w:val="20"/>
          <w:rtl w:val="false"/>
        </w:rPr>
        <w:t xml:space="preserve">Herzl</w:t>
      </w:r>
      <w:r>
        <w:rPr>
          <w:rFonts w:ascii="David" w:cs="David" w:eastAsia="David" w:hAnsi="David"/>
          <w:sz w:val="20"/>
          <w:szCs w:val="20"/>
          <w:rtl w:val="false"/>
        </w:rPr>
        <w:t xml:space="preserve">, pp. 114-130; Desmond Stewart, </w:t>
      </w:r>
      <w:r>
        <w:rPr>
          <w:rFonts w:ascii="David" w:cs="David" w:eastAsia="David" w:hAnsi="David"/>
          <w:i/>
          <w:iCs/>
          <w:sz w:val="20"/>
          <w:szCs w:val="20"/>
          <w:rtl w:val="false"/>
        </w:rPr>
        <w:t xml:space="preserve">Theodor Herzl: Artist and Politician</w:t>
      </w:r>
      <w:r>
        <w:rPr>
          <w:rFonts w:ascii="David" w:cs="David" w:eastAsia="David" w:hAnsi="David"/>
          <w:sz w:val="20"/>
          <w:szCs w:val="20"/>
          <w:rtl w:val="false"/>
        </w:rPr>
        <w:t xml:space="preserve"> (London: Hamish Hamilton, 1974), pp. 155-182.</w:t>
      </w:r>
    </w:p>
  </w:footnote>
  <w:footnote w:id="69">
    <w:p>
      <w:pPr>
        <w:bidi/>
        <w:spacing w:after="40" w:line="240" w:lineRule="auto"/>
        <w:jc w:val="both"/>
      </w:pPr>
      <w:r>
        <w:rPr>
          <w:rStyle w:val="FootnoteReference"/>
        </w:rPr>
        <w:footnoteRef/>
      </w:r>
      <w:r>
        <w:rPr>
          <w:rFonts w:ascii="David" w:cs="David" w:eastAsia="David" w:hAnsi="David"/>
          <w:sz w:val="20"/>
          <w:szCs w:val="20"/>
        </w:rPr>
        <w:t xml:space="preserve"> </w:t>
      </w:r>
      <w:r>
        <w:rPr>
          <w:rFonts w:ascii="David" w:cs="David" w:eastAsia="David" w:hAnsi="David"/>
          <w:sz w:val="20"/>
          <w:szCs w:val="20"/>
          <w:rtl/>
        </w:rPr>
        <w:t xml:space="preserve">השל, "לקראת היסטוריוגרפיה ארוטית", עמ' 5-30; Penslar, </w:t>
      </w:r>
      <w:r>
        <w:rPr>
          <w:rFonts w:ascii="David" w:cs="David" w:eastAsia="David" w:hAnsi="David"/>
          <w:i/>
          <w:iCs/>
          <w:sz w:val="20"/>
          <w:szCs w:val="20"/>
          <w:rtl/>
        </w:rPr>
        <w:t xml:space="preserve">Theodor Herzl</w:t>
      </w:r>
      <w:r>
        <w:rPr>
          <w:rFonts w:ascii="David" w:cs="David" w:eastAsia="David" w:hAnsi="David"/>
          <w:sz w:val="20"/>
          <w:szCs w:val="20"/>
          <w:rtl/>
        </w:rPr>
        <w:t xml:space="preserve">, pp. 49-70.</w:t>
      </w:r>
    </w:p>
  </w:footnote>
  <w:footnote w:id="70">
    <w:p>
      <w:pPr>
        <w:bidi/>
        <w:spacing w:after="40" w:line="240" w:lineRule="auto"/>
        <w:jc w:val="both"/>
      </w:pPr>
      <w:r>
        <w:rPr>
          <w:rStyle w:val="FootnoteReference"/>
        </w:rPr>
        <w:footnoteRef/>
      </w:r>
      <w:r>
        <w:rPr>
          <w:rFonts w:ascii="David" w:cs="David" w:eastAsia="David" w:hAnsi="David"/>
          <w:sz w:val="20"/>
          <w:szCs w:val="20"/>
        </w:rPr>
        <w:t xml:space="preserve"> </w:t>
      </w:r>
      <w:r>
        <w:rPr>
          <w:rFonts w:ascii="David" w:cs="David" w:eastAsia="David" w:hAnsi="David"/>
          <w:sz w:val="20"/>
          <w:szCs w:val="20"/>
          <w:rtl/>
        </w:rPr>
        <w:t xml:space="preserve">אבינרי, </w:t>
      </w:r>
      <w:r>
        <w:rPr>
          <w:rFonts w:ascii="David" w:cs="David" w:eastAsia="David" w:hAnsi="David"/>
          <w:b/>
          <w:bCs/>
          <w:i w:val="false"/>
          <w:iCs w:val="false"/>
          <w:sz w:val="20"/>
          <w:szCs w:val="20"/>
          <w:rtl/>
        </w:rPr>
        <w:t xml:space="preserve">הרצל</w:t>
      </w:r>
      <w:r>
        <w:rPr>
          <w:rFonts w:ascii="David" w:cs="David" w:eastAsia="David" w:hAnsi="David"/>
          <w:sz w:val="20"/>
          <w:szCs w:val="20"/>
          <w:rtl/>
        </w:rPr>
        <w:t xml:space="preserve">, עמ' 84-108; קוץ, "ראשיתה של פרשת דרייפוס", עמ' 8; Kornberg, </w:t>
      </w:r>
      <w:r>
        <w:rPr>
          <w:rFonts w:ascii="David" w:cs="David" w:eastAsia="David" w:hAnsi="David"/>
          <w:i/>
          <w:iCs/>
          <w:sz w:val="20"/>
          <w:szCs w:val="20"/>
          <w:rtl/>
        </w:rPr>
        <w:t xml:space="preserve">Theodor Herzl</w:t>
      </w:r>
      <w:r>
        <w:rPr>
          <w:rFonts w:ascii="David" w:cs="David" w:eastAsia="David" w:hAnsi="David"/>
          <w:sz w:val="20"/>
          <w:szCs w:val="20"/>
          <w:rtl/>
        </w:rPr>
        <w:t xml:space="preserve">, pp. 183-202.</w:t>
      </w:r>
    </w:p>
  </w:footnote>
  <w:footnote w:id="71">
    <w:p>
      <w:pPr>
        <w:bidi w:val="false"/>
        <w:spacing w:after="40" w:line="240" w:lineRule="auto"/>
        <w:jc w:val="left"/>
      </w:pPr>
      <w:r>
        <w:rPr>
          <w:rStyle w:val="FootnoteReference"/>
        </w:rPr>
        <w:footnoteRef/>
      </w:r>
      <w:r>
        <w:rPr>
          <w:rFonts w:ascii="David" w:cs="David" w:eastAsia="David" w:hAnsi="David"/>
          <w:sz w:val="20"/>
          <w:szCs w:val="20"/>
        </w:rPr>
        <w:t xml:space="preserve"> </w:t>
      </w:r>
      <w:r>
        <w:rPr>
          <w:rFonts w:ascii="David" w:cs="David" w:eastAsia="David" w:hAnsi="David"/>
          <w:sz w:val="20"/>
          <w:szCs w:val="20"/>
          <w:rtl w:val="false"/>
        </w:rPr>
        <w:t xml:space="preserve">Wistrich, "Theodor Herzl: Zionist Icon," pp. 1-37; Penslar, </w:t>
      </w:r>
      <w:r>
        <w:rPr>
          <w:rFonts w:ascii="David" w:cs="David" w:eastAsia="David" w:hAnsi="David"/>
          <w:i/>
          <w:iCs/>
          <w:sz w:val="20"/>
          <w:szCs w:val="20"/>
          <w:rtl w:val="false"/>
        </w:rPr>
        <w:t xml:space="preserve">Theodor Herzl</w:t>
      </w:r>
      <w:r>
        <w:rPr>
          <w:rFonts w:ascii="David" w:cs="David" w:eastAsia="David" w:hAnsi="David"/>
          <w:sz w:val="20"/>
          <w:szCs w:val="20"/>
          <w:rtl w:val="false"/>
        </w:rPr>
        <w:t xml:space="preserve">, pp. 60-70.</w:t>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David" w:cs="David" w:eastAsia="David" w:hAnsi="David"/>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outlineLvl w:val="0"/>
    </w:pPr>
    <w:rPr>
      <w:rFonts w:ascii="David" w:cs="David" w:eastAsia="David" w:hAnsi="David"/>
      <w:b/>
      <w:bCs/>
      <w:sz w:val="32"/>
      <w:szCs w:val="32"/>
    </w:rPr>
  </w:style>
  <w:style w:type="paragraph" w:styleId="Heading2">
    <w:name w:val="Heading 2"/>
    <w:basedOn w:val="Normal"/>
    <w:next w:val="Normal"/>
    <w:qFormat/>
    <w:pPr>
      <w:outlineLvl w:val="1"/>
    </w:pPr>
    <w:rPr>
      <w:rFonts w:ascii="David" w:cs="David" w:eastAsia="David" w:hAnsi="David"/>
      <w:b/>
      <w:bCs/>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oter" Target="footer2.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השפעת פרשת דרייפוס על התפתחות הגותו הציונית של תיאודור הרצל: מהתבוללות ללאומיות יהודית</dc:title>
  <dc:creator>seminar</dc:creator>
  <cp:lastModifiedBy>Un-named</cp:lastModifiedBy>
  <cp:revision>1</cp:revision>
  <dcterms:created xsi:type="dcterms:W3CDTF">2026-09-19T09:36:28.584Z</dcterms:created>
  <dcterms:modified xsi:type="dcterms:W3CDTF">2026-09-19T09:36:28.584Z</dcterms:modified>
</cp:coreProperties>
</file>

<file path=docProps/custom.xml><?xml version="1.0" encoding="utf-8"?>
<Properties xmlns="http://schemas.openxmlformats.org/officeDocument/2006/custom-properties" xmlns:vt="http://schemas.openxmlformats.org/officeDocument/2006/docPropsVTypes"/>
</file>