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0"/>
          <w:szCs w:val="30"/>
          <w:rtl/>
        </w:rPr>
        <w:t xml:space="preserve">הקריה האקדמית אונו</w:t>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 בהמשך הסוגיה מלמד רבי יהושע בן לוי שהמהלך בדרך בלא לוויה יעסוק בתורה, ומעשיהם של אמוראים המלווים זה את זה ארבע אמות בעיר נמסרים שם כעדות לערך שהפך לנורמה של ממש.</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התשיעי, העוסק בטקסים שבטלו; באותו פרק עצמו נמסר שמשרבו הרוצחים בטלה עגלה ערופה, כלומר המשנה מתארת טקס שכבר איננו, ובכל זאת טורחת לדרוש את משמעותו. הרחבת הדברים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בקורס נלמד המקור כדוגמה לתנועה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 אודה שהמשנה הזאת שינתה גם את הרגלי שלי: מאז שלמדנו אותה אני מוצאת את עצמי בודקת, בסוף כל מפגש, מי יצא מן החדר בלי שמישהו הלך איתו כברת דרך. את הבדיקה הפשוטה הזאת, ולא רעיון מופשט על ערבות הדדית, אני מבקשת להנחיל לחברי הצוות בדבריי.</w:t>
      </w:r>
    </w:p>
    <w:p>
      <w:r>
        <w:br w:type="page"/>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 לצד המשנה הוצגה בשיעור גם התוספתא, קובץ תנאי מקביל ורחב ממנה המיוחס לתלמידי רבי, וההשוואה בין השתיים מבליטה עד כמה עריכת המשנה קפדנית וחסכנית.</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בלשון מצגת הקורס, היא "הזיכרון המארגן" של עולם החכמים</w:t>
      </w:r>
      <w:r>
        <w:rPr>
          <w:rStyle w:val="FootnoteReference"/>
        </w:rPr>
        <w:footnoteReference w:id="6"/>
      </w:r>
      <w:r>
        <w:rPr>
          <w:rFonts w:ascii="David" w:cs="David" w:eastAsia="David" w:hAnsi="David"/>
          <w:sz w:val="24"/>
          <w:szCs w:val="24"/>
          <w:rtl/>
        </w:rPr>
        <w:t xml:space="preserve">. ראוי לשים לב שגם לאחר העריכה נשארה המשנה תורה שבעל פה במלוא מובן המילה: רבי ערך אותה אך המשיך למוסרה לתלמידיו על פה, ובבית המדרש התקיים תפקיד מיוחד, ה"תנא", השונה את המשניות בעל פה. היא גם יצרה שפה משותפת לעם כולו. שני התלמודים, הבבלי והירושלמי, נבנו כפירוש עליה, וכל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מתוך דף החברותא על מאפייני המשנה: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בלשון חכמים החיה של ארץ ישראל, קובעת שיעורים מספריים מדויקים במונחים קצובים, עשרים אמה, עשרה טפחים, שלוש דפנות, ואינה מנמקת דבר.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האגדה באה בבבלי בתוך קובץ שלם של סיפורי חורבן במסכת גיטין, והיא מוכרת בגרסאות נוספות בספרות חז"ל, ובהן איכה רבה ואבות דרבי נתן. להלן החלק הרלוונטי, בתרגום לעברית על פי דף המקורות של הקורס:</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המפגש עם אספסיינוס ומטרתו: בסרט כבמדרש מתייצב רבן יוחנן לפני המצביא הרומי ומנבא את גדולתו, שהאל בחר בו לכבוש את ירושלים; וההצלה המבוקשת איננה בשני המקורות הצלת העיר אלא הצלת התורה.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הרעיון שיבשיל לבקשה על יבנה וחכמיה.</w:t>
      </w:r>
    </w:p>
    <w:p>
      <w:pPr>
        <w:bidi/>
        <w:spacing w:after="120" w:line="360" w:lineRule="auto"/>
        <w:jc w:val="both"/>
      </w:pPr>
      <w:r>
        <w:rPr>
          <w:rFonts w:ascii="David" w:cs="David" w:eastAsia="David" w:hAnsi="David"/>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המגיע אל דודו אבל על אמו ומיוסר על שריפת המחסנים שהמיטה את הרעב; אף פרטי התחבולה, גזרתו של בר גיורא שאיש לא ייצא מן החומות מלבד המתים והדבר המצחין שהונח במיטה, לקוחים ממסורת איכה רבה ואינם בבבלי.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סיום המפגש עם אספסיינוס מתהפך אף הוא: בבבלי הנבואה מתאמתת בו במקום, שליח מרומא מבשר על ההכתרה ואספסיינוס מזמין את רבן יוחנן לבקש בקשה, והביקורת התלמודית על צניעות הבקשה נשמעת מיד; בסרט אספסיינוס נותר ספקן, דוחה את הגמול, "אם תתגשם נבואתך תקבל את מבוקשך"</w:t>
      </w:r>
      <w:r>
        <w:rPr>
          <w:rStyle w:val="FootnoteReference"/>
        </w:rPr>
        <w:footnoteReference w:id="10"/>
      </w:r>
      <w:r>
        <w:rPr>
          <w:rFonts w:ascii="David" w:cs="David" w:eastAsia="David" w:hAnsi="David"/>
          <w:sz w:val="24"/>
          <w:szCs w:val="24"/>
          <w:rtl/>
        </w:rPr>
        <w:t xml:space="preserve">, ומשליך את רבן יוחנן למכלאת השבויים. הקטע נחתם בדמות הרב הכלוא הממלמל "תורה מגנא, תורה מצלא"</w:t>
      </w:r>
      <w:r>
        <w:rPr>
          <w:rStyle w:val="FootnoteReference"/>
        </w:rPr>
        <w:footnoteReference w:id="11"/>
      </w:r>
      <w:r>
        <w:rPr>
          <w:rFonts w:ascii="David" w:cs="David" w:eastAsia="David" w:hAnsi="David"/>
          <w:sz w:val="24"/>
          <w:szCs w:val="24"/>
          <w:rtl/>
        </w:rPr>
        <w:t xml:space="preserve">, ובהודאה שהחורבן בא על שנאת האחים: "נגזרה הגזרה. שלחנו יד איש באחיו"</w:t>
      </w:r>
      <w:r>
        <w:rPr>
          <w:rStyle w:val="FootnoteReference"/>
        </w:rPr>
        <w:footnoteReference w:id="12"/>
      </w:r>
      <w:r>
        <w:rPr>
          <w:rFonts w:ascii="David" w:cs="David" w:eastAsia="David" w:hAnsi="David"/>
          <w:sz w:val="24"/>
          <w:szCs w:val="24"/>
          <w:rtl/>
        </w:rPr>
        <w:t xml:space="preserve">. בקשת יבנה עצמה נדחית אל מעבר לגבול הקטע, וקול הביקורת של רב יוסף ורבי עקיבא נעדר ממנו כליל; 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3"/>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4"/>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מרקס אף מצביעה על כך שבגרסת איכה רבה, זו שהסרט שואב ממנה כמה מפרטיו, מצטרף אל המוות הסמלי מעין היריון סמלי: הארון הסגור הוא גם רחם, שממנו נולד העם מחדש אל מציאות אחרת.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w:t>
      </w:r>
      <w:r>
        <w:rPr>
          <w:rStyle w:val="FootnoteReference"/>
        </w:rPr>
        <w:footnoteReference w:id="15"/>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6"/>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 אוסיף מנקודת מבטי: הישגו של הסרט הוא שהחזיר לסיפור את כובד הבשר והדם. הצפייה בירושלים המורעבת עשתה עבורי מוחשי את גודל הוויתור, ולימדה אותי שהבחירה ביבנה לא הייתה תשובה קלה של איש רוח, אלא ההימור הכבד ביותר שנטל על עצמו מנהיג יהודי.</w:t>
      </w:r>
    </w:p>
    <w:p>
      <w:r>
        <w:br w:type="page"/>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שנלמד בדף החברותא "איך נעשים חכמ.ה"</w:t>
      </w:r>
      <w:r>
        <w:rPr>
          <w:rStyle w:val="FootnoteReference"/>
        </w:rPr>
        <w:footnoteReference w:id="17"/>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והרב מגלה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8"/>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9"/>
      </w:r>
      <w:r>
        <w:rPr>
          <w:rFonts w:ascii="David" w:cs="David" w:eastAsia="David" w:hAnsi="David"/>
          <w:sz w:val="24"/>
          <w:szCs w:val="24"/>
          <w:rtl/>
        </w:rPr>
        <w:t xml:space="preserve">. לורברבוים מדגיש שמוקד הקדושה אינו עובר אל מקום חדש ואף לא אל איש פלא יחיד, אלא אל האדם, כל אדם, מכוח בריאתו בצלם אלוהים.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20"/>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21"/>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22"/>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3"/>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4"/>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5"/>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6"/>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7"/>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הפרדוקס מעמיק עוד לנוכח דמותה של אשתו, אמא שלום אחות רבן גמליאל, שנמנתה בחומרי המפגש על הנשים הלמדניות שבספרות חז"ל. שומר הסף של המסורת מבקש לשמור גם על גבולותיה החברתיים. ראוי להוסיף כי בסיפור תחילתו של רבי עקיבא, שנלמד באותו דף חברותא, יושב רבי עקיבא שנים לפני רבי אליעזר ולומד מפיו: הבור הסוד נעשה בעצמו רבו של גדול הדרשנים.</w:t>
      </w:r>
    </w:p>
    <w:p>
      <w:r>
        <w:br w:type="page"/>
      </w:r>
    </w:p>
    <w:p>
      <w:pPr>
        <w:bidi/>
        <w:spacing w:after="120" w:before="240" w:line="360" w:lineRule="auto"/>
        <w:jc w:val="right"/>
      </w:pPr>
      <w:r>
        <w:rPr>
          <w:rFonts w:ascii="David" w:cs="David" w:eastAsia="David" w:hAnsi="David"/>
          <w:b/>
          <w:bCs/>
          <w:sz w:val="28"/>
          <w:szCs w:val="28"/>
          <w:rtl/>
        </w:rPr>
        <w:t xml:space="preserve">רשימת מקורות</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בתוך: הבשר שברוח: שיח המיניות בתלמוד, תל אביב: עם עובד, תשנ"ט, עמ'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עמ'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w:t>
      </w:r>
    </w:p>
    <w:p>
      <w:pPr>
        <w:bidi/>
        <w:spacing w:after="120" w:line="360" w:lineRule="auto"/>
        <w:jc w:val="right"/>
      </w:pPr>
      <w:r>
        <w:rPr>
          <w:rFonts w:ascii="David" w:cs="David" w:eastAsia="David" w:hAnsi="David"/>
          <w:b w:val="false"/>
          <w:bCs w:val="false"/>
          <w:sz w:val="24"/>
          <w:szCs w:val="24"/>
          <w:rtl/>
        </w:rPr>
        <w:t xml:space="preserve">דפי המקורות, דפי החברותא והמצגות מאתר הקורס: מפגש 1 (עגלה ערופה), שיעורים 3-5 ("נביא וחכם", משנה ותוספתא, דף חברותא "מאפייני המשנה"), היחידה "צמיחה מתוך משבר" (ריב"ז והיציאה מירושלים), דף חברותא "איך נעשים חכמ.ה", דף מקורות מפגש 11 (לימוד תורה לנשים).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דף המקורות למפגש 1, "עגלה ערופה: התנועה של חז"ל מהמקרא אל המשנה ואל התלמוד", אתר הקורס.</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ידיעות אחרונות; מצגת הקורס "נביא וחכם: משנה ותוספתא" (שיעורים 3-5).</w:t>
      </w:r>
    </w:p>
  </w:footnote>
  <w:footnote w:id="5">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6">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7">
    <w:p>
      <w:pPr>
        <w:bidi/>
        <w:jc w:val="right"/>
      </w:pPr>
      <w:r>
        <w:rPr>
          <w:rStyle w:val="FootnoteReference"/>
        </w:rPr>
        <w:footnoteRef/>
      </w:r>
      <w:r>
        <w:rPr>
          <w:rFonts w:ascii="David" w:cs="David" w:eastAsia="David" w:hAnsi="David"/>
          <w:sz w:val="20"/>
          <w:szCs w:val="20"/>
          <w:rtl/>
        </w:rPr>
        <w:t xml:space="preserve"> משנה, מסכת סוכה, פרק א, משנה א; מצוטט בדף החברותא "מאפייני המשנה", אתר הקורס.</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התרגום על פי דף החברותא "ריב"ז, הבריונים והיציאה מירושלים ליבנה", אתר הקורס.</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1">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 הלשון שאולה מן התלמוד, התורה מגינה ומצילה, תלמוד בבלי, מסכת סוטה, דף כא ע"א, מן הסוגיה שנלמדה במפגש 11.</w:t>
      </w:r>
    </w:p>
  </w:footnote>
  <w:footnote w:id="12">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3">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4">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דליה מרקס, "רבן יוחנן בן זכאי והקמת יבנה: ניתוח והערכת הסיפור בראי הזמן".</w:t>
      </w:r>
    </w:p>
  </w:footnote>
  <w:footnote w:id="15">
    <w:p>
      <w:pPr>
        <w:bidi/>
        <w:jc w:val="right"/>
      </w:pPr>
      <w:r>
        <w:rPr>
          <w:rStyle w:val="FootnoteReference"/>
        </w:rPr>
        <w:footnoteRef/>
      </w:r>
      <w:r>
        <w:rPr>
          <w:rFonts w:ascii="David" w:cs="David" w:eastAsia="David" w:hAnsi="David"/>
          <w:sz w:val="20"/>
          <w:szCs w:val="20"/>
          <w:rtl/>
        </w:rPr>
        <w:t xml:space="preserve"> אדיאל שרמר, כפי שמצוטט אצל דליה מרקס, "רבן יוחנן בן זכאי והקמת יבנה: ניתוח והערכת הסיפור בראי הזמן".</w:t>
      </w:r>
    </w:p>
  </w:footnote>
  <w:footnote w:id="16">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7">
    <w:p>
      <w:pPr>
        <w:bidi/>
        <w:jc w:val="right"/>
      </w:pPr>
      <w:r>
        <w:rPr>
          <w:rStyle w:val="FootnoteReference"/>
        </w:rPr>
        <w:footnoteRef/>
      </w:r>
      <w:r>
        <w:rPr>
          <w:rFonts w:ascii="David" w:cs="David" w:eastAsia="David" w:hAnsi="David"/>
          <w:sz w:val="20"/>
          <w:szCs w:val="20"/>
          <w:rtl/>
        </w:rPr>
        <w:t xml:space="preserve"> מדרש פרקי דרבי אליעזר, פרקים א-ב, ומקבילות באבות דרבי נתן נוסח א, בראשית רבה מב, א ותנחומא בובר לך לך, י; על פי דף החברותא "איך נעשים חכמ.ה", אתר הקורס.</w:t>
      </w:r>
    </w:p>
  </w:footnote>
  <w:footnote w:id="18">
    <w:p>
      <w:pPr>
        <w:bidi/>
        <w:jc w:val="right"/>
      </w:pPr>
      <w:r>
        <w:rPr>
          <w:rStyle w:val="FootnoteReference"/>
        </w:rPr>
        <w:footnoteRef/>
      </w:r>
      <w:r>
        <w:rPr>
          <w:rFonts w:ascii="David" w:cs="David" w:eastAsia="David" w:hAnsi="David"/>
          <w:sz w:val="20"/>
          <w:szCs w:val="20"/>
          <w:rtl/>
        </w:rPr>
        <w:t xml:space="preserve"> פרקי דרבי אליעזר, פרקים א-ב, ומקבילות, על פי נוסח דף החברותא "איך נעשים חכמ.ה".</w:t>
      </w:r>
    </w:p>
  </w:footnote>
  <w:footnote w:id="19">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20">
    <w:p>
      <w:pPr>
        <w:bidi/>
        <w:jc w:val="right"/>
      </w:pPr>
      <w:r>
        <w:rPr>
          <w:rStyle w:val="FootnoteReference"/>
        </w:rPr>
        <w:footnoteRef/>
      </w:r>
      <w:r>
        <w:rPr>
          <w:rFonts w:ascii="David" w:cs="David" w:eastAsia="David" w:hAnsi="David"/>
          <w:sz w:val="20"/>
          <w:szCs w:val="20"/>
          <w:rtl/>
        </w:rPr>
        <w:t xml:space="preserve"> דברי רבי אליעזר בסיום הסיפור, פרקי דרבי אליעזר, פרקים א-ב, ומקבילות, על פי דף החברותא "איך נעשים חכמ.ה".</w:t>
      </w:r>
    </w:p>
  </w:footnote>
  <w:footnote w:id="21">
    <w:p>
      <w:pPr>
        <w:bidi/>
        <w:jc w:val="right"/>
      </w:pPr>
      <w:r>
        <w:rPr>
          <w:rStyle w:val="FootnoteReference"/>
        </w:rPr>
        <w:footnoteRef/>
      </w:r>
      <w:r>
        <w:rPr>
          <w:rFonts w:ascii="David" w:cs="David" w:eastAsia="David" w:hAnsi="David"/>
          <w:sz w:val="20"/>
          <w:szCs w:val="20"/>
          <w:rtl/>
        </w:rPr>
        <w:t xml:space="preserve"> מצגת הקורס "נביא וחכם" (שיעורים 3-5), אתר הקורס.</w:t>
      </w:r>
    </w:p>
  </w:footnote>
  <w:footnote w:id="22">
    <w:p>
      <w:pPr>
        <w:bidi/>
        <w:jc w:val="right"/>
      </w:pPr>
      <w:r>
        <w:rPr>
          <w:rStyle w:val="FootnoteReference"/>
        </w:rPr>
        <w:footnoteRef/>
      </w:r>
      <w:r>
        <w:rPr>
          <w:rFonts w:ascii="David" w:cs="David" w:eastAsia="David" w:hAnsi="David"/>
          <w:sz w:val="20"/>
          <w:szCs w:val="20"/>
          <w:rtl/>
        </w:rPr>
        <w:t xml:space="preserve"> משנה, מסכת אבות, פרק ב, משנה ח; נלמדה ביחידה "צמיחה מתוך משבר".</w:t>
      </w:r>
    </w:p>
  </w:footnote>
  <w:footnote w:id="23">
    <w:p>
      <w:pPr>
        <w:bidi/>
        <w:jc w:val="right"/>
      </w:pPr>
      <w:r>
        <w:rPr>
          <w:rStyle w:val="FootnoteReference"/>
        </w:rPr>
        <w:footnoteRef/>
      </w:r>
      <w:r>
        <w:rPr>
          <w:rFonts w:ascii="David" w:cs="David" w:eastAsia="David" w:hAnsi="David"/>
          <w:sz w:val="20"/>
          <w:szCs w:val="20"/>
          <w:rtl/>
        </w:rPr>
        <w:t xml:space="preserve"> דף החברותא "איך נעשים חכמ.ה", אתר הקורס.</w:t>
      </w:r>
    </w:p>
  </w:footnote>
  <w:footnote w:id="24">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5">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6">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7">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2026-07-30T12:23:52.237Z</dcterms:created>
  <dcterms:modified xsi:type="dcterms:W3CDTF">2026-07-30T12:23:52.239Z</dcterms:modified>
</cp:coreProperties>
</file>

<file path=docProps/custom.xml><?xml version="1.0" encoding="utf-8"?>
<Properties xmlns="http://schemas.openxmlformats.org/officeDocument/2006/custom-properties" xmlns:vt="http://schemas.openxmlformats.org/officeDocument/2006/docPropsVTypes"/>
</file>