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 שתיהן מוכרות במשפט העבודה הקיבוצי בישראל (בן-ישראל, 2002; הילדסהימר, 2026ג). הזכות הראשונה מעוגנת ב</w:t>
      </w:r>
      <w:r>
        <w:rPr>
          <w:b/>
          <w:sz w:val="24"/>
          <w:rtl/>
          <w:szCs w:val="24"/>
          <w:bCs/>
        </w:rPr>
        <w:t>סעיף 33ח לחוק הסכמים קיבוציים, התשי"ז-1957</w:t>
      </w:r>
      <w:r>
        <w:rPr>
          <w:sz w:val="24"/>
          <w:rtl/>
          <w:szCs w:val="24"/>
        </w:rPr>
        <w:t>, ו</w:t>
      </w:r>
      <w:r>
        <w:rPr>
          <w:b/>
          <w:sz w:val="24"/>
          <w:rtl/>
          <w:szCs w:val="24"/>
          <w:bCs/>
        </w:rPr>
        <w:t>סעיף 33י(א)</w:t>
      </w:r>
      <w:r>
        <w:rPr>
          <w:sz w:val="24"/>
          <w:rtl/>
          <w:szCs w:val="24"/>
        </w:rPr>
        <w:t xml:space="preserve">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xml:space="preserve"> (סעיף 3 לחוק), ורק הארגון היציג רשאי לחתום על </w:t>
      </w:r>
      <w:r>
        <w:rPr>
          <w:b/>
          <w:sz w:val="24"/>
          <w:rtl/>
          <w:szCs w:val="24"/>
          <w:bCs/>
        </w:rPr>
        <w:t>הסכם קיבוצי מיוחד</w:t>
      </w:r>
      <w:r>
        <w:rPr>
          <w:sz w:val="24"/>
          <w:rtl/>
          <w:szCs w:val="24"/>
        </w:rPr>
        <w:t xml:space="preserve"> במפעל (סעיף 2(1) לחוק). החוק אינו מגדיר "ארגון עובדים", והמבחנים נקבעו ב</w:t>
      </w:r>
      <w:r>
        <w:rPr>
          <w:b/>
          <w:sz w:val="24"/>
          <w:rtl/>
          <w:szCs w:val="24"/>
          <w:bCs/>
        </w:rPr>
        <w:t>בג"ץ 7029/95 הסתדרות העובדים הכללית החדשה נ' בית הדין הארצי לעבודה (עניין עמית, 1997)</w:t>
      </w:r>
      <w:r>
        <w:rPr>
          <w:sz w:val="24"/>
          <w:rtl/>
          <w:szCs w:val="24"/>
        </w:rPr>
        <w:t xml:space="preserve">. ארבעה מבחנים נקבעו שם. </w:t>
      </w:r>
      <w:r>
        <w:rPr>
          <w:b/>
          <w:sz w:val="24"/>
          <w:rtl/>
          <w:szCs w:val="24"/>
          <w:bCs/>
        </w:rPr>
        <w:t>מבחן החברות</w:t>
      </w:r>
      <w:r>
        <w:rPr>
          <w:sz w:val="24"/>
          <w:rtl/>
          <w:szCs w:val="24"/>
        </w:rPr>
        <w:t xml:space="preserve">: מרבית החברים הם עובדים שכירים והחברות רצונית. </w:t>
      </w:r>
      <w:r>
        <w:rPr>
          <w:b/>
          <w:sz w:val="24"/>
          <w:rtl/>
          <w:szCs w:val="24"/>
          <w:bCs/>
        </w:rPr>
        <w:t>מבחן התקנון</w:t>
      </w:r>
      <w:r>
        <w:rPr>
          <w:sz w:val="24"/>
          <w:rtl/>
          <w:szCs w:val="24"/>
        </w:rPr>
        <w:t xml:space="preserve">: לארגון תקנון המסדיר את מוסדותיו ומטרותיו. </w:t>
      </w:r>
      <w:r>
        <w:rPr>
          <w:b/>
          <w:sz w:val="24"/>
          <w:rtl/>
          <w:szCs w:val="24"/>
          <w:bCs/>
        </w:rPr>
        <w:t>מבחן המטרה</w:t>
      </w:r>
      <w:r>
        <w:rPr>
          <w:sz w:val="24"/>
          <w:rtl/>
          <w:szCs w:val="24"/>
        </w:rPr>
        <w:t xml:space="preserve">: מטרתו המרכזית היא קידום זכויותיהם התעסוקתיות של העובדים מול המעסיק. </w:t>
      </w:r>
      <w:r>
        <w:rPr>
          <w:b/>
          <w:sz w:val="24"/>
          <w:rtl/>
          <w:szCs w:val="24"/>
          <w:bCs/>
        </w:rPr>
        <w:t>מבחן ההתארגנות</w:t>
      </w:r>
      <w:r>
        <w:rPr>
          <w:sz w:val="24"/>
          <w:rtl/>
          <w:szCs w:val="24"/>
        </w:rPr>
        <w:t xml:space="preserve">: התארגנות יציבה המהווה </w:t>
      </w:r>
      <w:r>
        <w:rPr>
          <w:b/>
          <w:sz w:val="24"/>
          <w:rtl/>
          <w:szCs w:val="24"/>
          <w:bCs/>
        </w:rPr>
        <w:t>קול נגדי למעסיק</w:t>
      </w:r>
      <w:r>
        <w:rPr>
          <w:sz w:val="24"/>
          <w:rtl/>
          <w:szCs w:val="24"/>
        </w:rPr>
        <w:t>.</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שני המבחנים הראשונים מתקיימים. חברי הקבוצה הם עובדי החברה שהצטרפו מרצונם, ולקבוצה תקנון הקובע מטרות וסמכויות. הקושי מתעורר בשני המבחנים האחרים, ובית הדין בוחן אותם לפי המהות ולא לפי הכותרות שבתקנון.</w:t>
      </w:r>
    </w:p>
    <w:p>
      <w:pPr>
        <w:bidi/>
        <w:spacing w:before="0" w:after="0"/>
        <w:jc w:val="both"/>
      </w:pPr>
      <w:r>
        <w:rPr>
          <w:b/>
          <w:sz w:val="24"/>
          <w:rtl/>
          <w:szCs w:val="24"/>
          <w:bCs/>
        </w:rPr>
        <w:t>מבחן המטרה.</w:t>
      </w:r>
      <w:r>
        <w:rPr>
          <w:sz w:val="24"/>
          <w:rtl/>
          <w:szCs w:val="24"/>
        </w:rPr>
        <w:t xml:space="preserve"> סעיף הסמכויות מקנה לקבוצה סמכות לנהל משא ומתן, לאשר הסכמים קיבוציים ולהכריז על סכסוך עבודה. אולם סעיף המטרות, ובפרט </w:t>
      </w:r>
      <w:r>
        <w:rPr>
          <w:b/>
          <w:sz w:val="24"/>
          <w:rtl/>
          <w:szCs w:val="24"/>
          <w:bCs/>
        </w:rPr>
        <w:t>מטרה ד'</w:t>
      </w:r>
      <w:r>
        <w:rPr>
          <w:sz w:val="24"/>
          <w:rtl/>
          <w:szCs w:val="24"/>
        </w:rPr>
        <w:t xml:space="preserve">, מוציא מראש מתחום הפעולה הקיבוצית את השכר, הבונוסים והאופציות, שהם ליבת תנאי העבודה בחברת טכנולוגיה. גוף כזה אינו מקדם את זכויות העובדים מול המעסיק. גם </w:t>
      </w:r>
      <w:r>
        <w:rPr>
          <w:b/>
          <w:sz w:val="24"/>
          <w:rtl/>
          <w:szCs w:val="24"/>
          <w:bCs/>
        </w:rPr>
        <w:t>מטרה ב'</w:t>
      </w:r>
      <w:r>
        <w:rPr>
          <w:sz w:val="24"/>
          <w:rtl/>
          <w:szCs w:val="24"/>
        </w:rPr>
        <w:t xml:space="preserve">, יציבות החברה והמשך פעילותה בישראל, היא אינטרס של המעסיק. הנימוק שבהודעת הקבוצה אינו מחזיק משפטית: לפי </w:t>
      </w:r>
      <w:r>
        <w:rPr>
          <w:b/>
          <w:sz w:val="24"/>
          <w:rtl/>
          <w:szCs w:val="24"/>
          <w:bCs/>
        </w:rPr>
        <w:t>סעיף 22 לחוק</w:t>
      </w:r>
      <w:r>
        <w:rPr>
          <w:sz w:val="24"/>
          <w:rtl/>
          <w:szCs w:val="24"/>
        </w:rPr>
        <w:t>, הוראה בחוזה אישי שהיא לטובת העובד גוברת על ההסכם הקיבוצי, אלא אם ההסכם מונע זאת במפורש. הסכם קיבוצי קובע רצפה ואינו שולל תנאים אישיים טובים יותר. מכאן שמטרה ד' אינה משקפת חשש אמיתי, אלא התנגדות עקרונית לייצוג קיבוצי בתנאים המהותיים.</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המנכ"ל בירך על הקמתה וראה בה דרך לשמור על "התרבות הייחודית של החברה", ובמקביל פעל נגד ההסתדרות. גוף שהמעסיק תומך בו כך אינו "קול נגדי" לו.</w:t>
      </w:r>
    </w:p>
    <w:p>
      <w:pPr>
        <w:bidi/>
        <w:spacing w:before="0" w:after="0"/>
        <w:jc w:val="both"/>
      </w:pPr>
      <w:r>
        <w:rPr>
          <w:b/>
          <w:sz w:val="24"/>
          <w:rtl/>
          <w:szCs w:val="24"/>
          <w:bCs/>
        </w:rPr>
        <w:t>עניין נוקיה.</w:t>
      </w:r>
      <w:r>
        <w:rPr>
          <w:sz w:val="24"/>
          <w:rtl/>
          <w:szCs w:val="24"/>
        </w:rPr>
        <w:t xml:space="preserve"> ב</w:t>
      </w:r>
      <w:r>
        <w:rPr>
          <w:b/>
          <w:sz w:val="24"/>
          <w:rtl/>
          <w:szCs w:val="24"/>
          <w:bCs/>
        </w:rPr>
        <w:t>עס"ק (ארצי) 6298-03-25 הסתדרות העובדים הכללית החדשה נ' ארגון עובדי הפיתוח והשיווק בנוקיה (10.6.2025)</w:t>
      </w:r>
      <w:r>
        <w:rPr>
          <w:sz w:val="24"/>
          <w:rtl/>
          <w:szCs w:val="24"/>
        </w:rPr>
        <w:t xml:space="preserve"> יישם בית הדין הארצי את מבחני עניין עמית על גוף שהקימו עובדי חברת טכנולוגיה כחלופה להסתדרות, ושמסמכי היסוד שלו הותירו את ענייני השכר והתגמול לחוזים האישיים. בית הדין קבע כי גוף כזה אינו עומד במבחן המטרה ואינו ארגון עובדים. המסקנה חלה גם כאן.</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אבל חופש זה אינו הופך את הקבוצה לארגון עובדים. חבריה אינם נספרים לצורך היציגות, והיא אינה יכולה לדרוש משא ומתן קיבוצי או לחתום על הסכם קיבוצי.</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עס"ק (ארצי) 25476-09-12 הסתדרות העובדים החדשה נ' פלאפון תקשורת בע"מ (2.1.2013)</w:t>
      </w:r>
      <w:r>
        <w:rPr>
          <w:sz w:val="24"/>
          <w:rtl/>
          <w:szCs w:val="24"/>
        </w:rPr>
        <w:t xml:space="preserve"> איזן בית הדין בין חופש הביטוי של המעסיק לבין חופש ההתארגנות של העובדים, והבחין בין שלב </w:t>
      </w:r>
      <w:r>
        <w:rPr>
          <w:b/>
          <w:sz w:val="24"/>
          <w:rtl/>
          <w:szCs w:val="24"/>
          <w:bCs/>
        </w:rPr>
        <w:t>ההתארגנות הפורצת</w:t>
      </w:r>
      <w:r>
        <w:rPr>
          <w:sz w:val="24"/>
          <w:rtl/>
          <w:szCs w:val="24"/>
        </w:rPr>
        <w:t xml:space="preserve"> לבין שלב שבו כבר קיים ארגון יציג. בשלב הראשון על המעסיק להימנע מהצגת עמדתו בנוגע להתארגנות, בכנסים, ב</w:t>
      </w:r>
      <w:r>
        <w:rPr>
          <w:b/>
          <w:sz w:val="24"/>
          <w:rtl/>
          <w:szCs w:val="24"/>
          <w:bCs/>
        </w:rPr>
        <w:t>מפגשים אישיים או קבוצתיים</w:t>
      </w:r>
      <w:r>
        <w:rPr>
          <w:sz w:val="24"/>
          <w:rtl/>
          <w:szCs w:val="24"/>
        </w:rPr>
        <w:t xml:space="preserve"> ובתכתובות אלקטרוניות. נקבע גם כי הצגת חסרונות ההצטרפות לארגון עובדים והשלכותיה על החברה היא הבעת עמדה אסורה, גם אם יש בה אמת. ההתארגנות ב-NeuroTech נמצאת בשלב הפורץ, ולכן שלוש פעולות ההנהלה אסורות.</w:t>
      </w:r>
    </w:p>
    <w:p>
      <w:pPr>
        <w:bidi/>
        <w:spacing w:before="0" w:after="0"/>
        <w:jc w:val="both"/>
      </w:pPr>
      <w:r>
        <w:rPr>
          <w:b/>
          <w:sz w:val="24"/>
          <w:rtl/>
          <w:szCs w:val="24"/>
          <w:bCs/>
        </w:rPr>
        <w:t>הודעת הדואר האלקטרוני</w:t>
      </w:r>
      <w:r>
        <w:rPr>
          <w:sz w:val="24"/>
          <w:rtl/>
          <w:szCs w:val="24"/>
        </w:rPr>
        <w:t xml:space="preserve">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w:t>
      </w:r>
      <w:r>
        <w:rPr>
          <w:b/>
          <w:sz w:val="24"/>
          <w:rtl/>
          <w:szCs w:val="24"/>
          <w:bCs/>
        </w:rPr>
        <w:t>הנחיית מנהלי הצוותים</w:t>
      </w:r>
      <w:r>
        <w:rPr>
          <w:sz w:val="24"/>
          <w:rtl/>
          <w:szCs w:val="24"/>
        </w:rPr>
        <w:t xml:space="preserve"> לשוחח עם עובדיהם על "יתרונות המודל האישי" היא מפגש אישי שנועד להעביר את עמדת ההנהלה, ובית הדין אסר עליו במפורש. חומרתה רבה במיוחד משום שמדובר במנהלים המשפיעים על הבונוסים, האופציות והקידום של אותם עובדים. </w:t>
      </w:r>
      <w:r>
        <w:rPr>
          <w:b/>
          <w:sz w:val="24"/>
          <w:rtl/>
          <w:szCs w:val="24"/>
          <w:bCs/>
        </w:rPr>
        <w:t>הפגישה עם הקבוצה ודברי השבח</w:t>
      </w:r>
      <w:r>
        <w:rPr>
          <w:sz w:val="24"/>
          <w:rtl/>
          <w:szCs w:val="24"/>
        </w:rPr>
        <w:t xml:space="preserve"> כלפיה מעבירים לעובדים את אותו מסר בדרך עקיפה: ההנהלה מעדיפה את הקבוצה על פני ההסתדרות.</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עומדת במבחני החברות והתקנון של עניין עמית, אך לא במבחן המטרה ולא במבחן הקול הנגדי, כפי שנפסק בנסיבות דומות בעניין נוקיה. פעולות ההנהלה הפרו את האיסור על הבעת עמדה בשלב ההתארגנות הפורצת שנקבע בעניין פלאפון.</w:t>
      </w:r>
    </w:p>
    <w:p>
      <w:r>
        <w:br w:type="page"/>
      </w:r>
    </w:p>
    <w:p>
      <w:pPr>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b/>
          <w:sz w:val="24"/>
          <w:rtl/>
          <w:szCs w:val="24"/>
          <w:bCs/>
        </w:rPr>
        <w:t>החוק למניעת הטרדה מינית, התשנ"ח-1998</w:t>
      </w:r>
      <w:r>
        <w:rPr>
          <w:sz w:val="24"/>
          <w:rtl/>
          <w:szCs w:val="24"/>
        </w:rPr>
        <w:t xml:space="preserve">, נועד להגן על כבודו של אדם, על חירותו ועל פרטיותו ולקדם שוויון בין המינים (סעיף 1; הילדסהימר, 2026ב). מבין החלופות שבסעיף 3(א), הרלוונטית לענייננו היא </w:t>
      </w:r>
      <w:r>
        <w:rPr>
          <w:b/>
          <w:sz w:val="24"/>
          <w:rtl/>
          <w:szCs w:val="24"/>
          <w:bCs/>
        </w:rPr>
        <w:t>סעיף 3(א)(4)</w:t>
      </w:r>
      <w:r>
        <w:rPr>
          <w:sz w:val="24"/>
          <w:rtl/>
          <w:szCs w:val="24"/>
        </w:rPr>
        <w:t xml:space="preserve">: </w:t>
      </w:r>
      <w:r>
        <w:rPr>
          <w:b/>
          <w:sz w:val="24"/>
          <w:rtl/>
          <w:szCs w:val="24"/>
          <w:bCs/>
        </w:rPr>
        <w:t>התייחסויות חוזרות</w:t>
      </w:r>
      <w:r>
        <w:rPr>
          <w:sz w:val="24"/>
          <w:rtl/>
          <w:szCs w:val="24"/>
        </w:rPr>
        <w:t xml:space="preserve"> המופנות לאדם, </w:t>
      </w:r>
      <w:r>
        <w:rPr>
          <w:b/>
          <w:sz w:val="24"/>
          <w:rtl/>
          <w:szCs w:val="24"/>
          <w:bCs/>
        </w:rPr>
        <w:t>המתמקדות במיניותו</w:t>
      </w:r>
      <w:r>
        <w:rPr>
          <w:sz w:val="24"/>
          <w:rtl/>
          <w:szCs w:val="24"/>
        </w:rPr>
        <w:t xml:space="preserve">, כאשר אותו אדם </w:t>
      </w:r>
      <w:r>
        <w:rPr>
          <w:b/>
          <w:sz w:val="24"/>
          <w:rtl/>
          <w:szCs w:val="24"/>
          <w:bCs/>
        </w:rPr>
        <w:t>הראה למטריד שאינו מעוניין</w:t>
      </w:r>
      <w:r>
        <w:rPr>
          <w:sz w:val="24"/>
          <w:rtl/>
          <w:szCs w:val="24"/>
        </w:rPr>
        <w:t xml:space="preserve"> בהן. החלופה של הצעות חוזרות בעלות אופי מיני (סעיף 3(א)(3)) אינה חלה, משום שדנה לא הציעה לאורי דבר. גם סעיף 3(א)(5), התייחסות מבזה או משפילה ביחס לנטייה המינית, אינו חל, שכן השאלה על נטייתו של אורי לא נשאלה בדרך מבזה.</w:t>
      </w:r>
    </w:p>
    <w:p>
      <w:pPr>
        <w:bidi/>
        <w:spacing w:before="0" w:after="0"/>
        <w:jc w:val="both"/>
      </w:pPr>
      <w:r>
        <w:rPr>
          <w:sz w:val="24"/>
          <w:rtl/>
          <w:szCs w:val="24"/>
        </w:rPr>
        <w:t>לפי החלופה הכללית, ההטרדה לא הוכחה. אורי לא הראה בתחילה שאינו מעוניין: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xml:space="preserve">. לפי </w:t>
      </w:r>
      <w:r>
        <w:rPr>
          <w:b/>
          <w:sz w:val="24"/>
          <w:rtl/>
          <w:szCs w:val="24"/>
          <w:bCs/>
        </w:rPr>
        <w:t>סעיף 3(א)(6)</w:t>
      </w:r>
      <w:r>
        <w:rPr>
          <w:sz w:val="24"/>
          <w:rtl/>
          <w:szCs w:val="24"/>
        </w:rPr>
        <w:t>, כאשר ההתייחסויות נעשות תוך ניצול יחסי מרות בעבודה, אין צורך שהמוטרד יראה שאינו מעוניין. ב</w:t>
      </w:r>
      <w:r>
        <w:rPr>
          <w:b/>
          <w:sz w:val="24"/>
          <w:rtl/>
          <w:szCs w:val="24"/>
          <w:bCs/>
        </w:rPr>
        <w:t>עש"ם 2203/05 מדר נ' נציבות שירות המדינה (21.7.2005)</w:t>
      </w:r>
      <w:r>
        <w:rPr>
          <w:sz w:val="24"/>
          <w:rtl/>
          <w:szCs w:val="24"/>
        </w:rPr>
        <w:t xml:space="preserve"> נקבע שיחסי מרות התקיימו אף שהמטריד לא היה הממונה הישיר של המוטרדת. נקבע גם שבקשה עמומה להפסיק, שנבעה מחשש לפגיעה בעבודה, אינה שוללת את ההטרדה. כלומר, המבחן מהותי ולא פורמלי. לדנה אין סמכות לקבל עובדים או לפטרם, אך היא ותיקה, משתתפת בהחלטות השיבוץ ולהמלצתה השפעה על קידום עובדים צעירים. אורי, בן 27, הוא עובד חדש. לפי הלכת מדר, ניתן לראות ביחסים אלה יחסי מרות, ולהסביר את השתתפותו של אורי בשיחות גם ברצון שלא להסתכסך עם מי שמשפיעה על עתידו.</w:t>
      </w:r>
    </w:p>
    <w:p>
      <w:pPr>
        <w:bidi/>
        <w:spacing w:before="0" w:after="0"/>
        <w:jc w:val="both"/>
      </w:pPr>
      <w:r>
        <w:rPr>
          <w:sz w:val="24"/>
          <w:rtl/>
          <w:szCs w:val="24"/>
        </w:rPr>
        <w:t xml:space="preserve">עם זאת, גם כשקיימים יחסי מרות נדרשות התייחסויות חוזרות </w:t>
      </w:r>
      <w:r>
        <w:rPr>
          <w:b/>
          <w:sz w:val="24"/>
          <w:rtl/>
          <w:szCs w:val="24"/>
          <w:bCs/>
        </w:rPr>
        <w:t>המתמקדות במיניותו של המוטרד</w:t>
      </w:r>
      <w:r>
        <w:rPr>
          <w:sz w:val="24"/>
          <w:rtl/>
          <w:szCs w:val="24"/>
        </w:rPr>
        <w:t>, ונדרש ש</w:t>
      </w:r>
      <w:r>
        <w:rPr>
          <w:b/>
          <w:sz w:val="24"/>
          <w:rtl/>
          <w:szCs w:val="24"/>
          <w:bCs/>
        </w:rPr>
        <w:t>נוצלו</w:t>
      </w:r>
      <w:r>
        <w:rPr>
          <w:sz w:val="24"/>
          <w:rtl/>
          <w:szCs w:val="24"/>
        </w:rPr>
        <w:t xml:space="preserve"> יחסי המרות. השאלה הישירה על נטייתו של אורי נשאלה פעם אחת. רוב השיחות עסקו בחייה של דנה, היו הדדיות ולא היה בהן רמז לקשר בין השיחות לבין מעמדו בעבודה. בכך שונה המקרה מעניין מדר, שבו המטריד העיר שוב ושוב על מראה המוטרדת ועל לבושה. לכן נראה לי שקשה לבסס כאן הטרדה מינית, אם כי הטענה אינה מופרכת: שיתוף מפורט ומתמשך בפרטים אינטימיים מצד עובדת ותיקה ובעלת השפעה, כלפי עובד חדש, אינו התנהגות ראויה במקום עבודה. כמו כן, אין זו </w:t>
      </w:r>
      <w:r>
        <w:rPr>
          <w:b/>
          <w:sz w:val="24"/>
          <w:rtl/>
          <w:szCs w:val="24"/>
          <w:bCs/>
        </w:rPr>
        <w:t>הטרדה סביבתית</w:t>
      </w:r>
      <w:r>
        <w:rPr>
          <w:sz w:val="24"/>
          <w:rtl/>
          <w:szCs w:val="24"/>
        </w:rPr>
        <w:t>, משום שההתנהגות הופנתה לאורי בלבד ולא יצרה אווירה כללית במשרד.</w:t>
      </w:r>
    </w:p>
    <w:p>
      <w:pPr>
        <w:bidi/>
        <w:spacing w:before="120" w:after="0"/>
        <w:jc w:val="both"/>
      </w:pPr>
      <w:r>
        <w:rPr>
          <w:b/>
          <w:sz w:val="24"/>
          <w:rtl/>
          <w:szCs w:val="24"/>
          <w:bCs/>
        </w:rPr>
        <w:t>2. חובות המעסיק והתנכלות</w:t>
      </w:r>
    </w:p>
    <w:p>
      <w:pPr>
        <w:bidi/>
        <w:spacing w:before="0" w:after="0"/>
        <w:jc w:val="both"/>
      </w:pPr>
      <w:r>
        <w:rPr>
          <w:sz w:val="24"/>
          <w:rtl/>
          <w:szCs w:val="24"/>
        </w:rPr>
        <w:t xml:space="preserve">לפי </w:t>
      </w:r>
      <w:r>
        <w:rPr>
          <w:b/>
          <w:sz w:val="24"/>
          <w:rtl/>
          <w:szCs w:val="24"/>
          <w:bCs/>
        </w:rPr>
        <w:t>סעיף 7(א) לחוק</w:t>
      </w:r>
      <w:r>
        <w:rPr>
          <w:sz w:val="24"/>
          <w:rtl/>
          <w:szCs w:val="24"/>
        </w:rPr>
        <w:t xml:space="preserve">, מעסיק חייב לנקוט אמצעים סבירים כדי למנוע הטרדה מינית והתנכלות ולטפל בכל מקרה. Frame מעסיקה כ-70 עובדים, ולכן, לפי </w:t>
      </w:r>
      <w:r>
        <w:rPr>
          <w:b/>
          <w:sz w:val="24"/>
          <w:rtl/>
          <w:szCs w:val="24"/>
          <w:bCs/>
        </w:rPr>
        <w:t>סעיף 7(ב)</w:t>
      </w:r>
      <w:r>
        <w:rPr>
          <w:sz w:val="24"/>
          <w:rtl/>
          <w:szCs w:val="24"/>
        </w:rPr>
        <w:t xml:space="preserve"> ו</w:t>
      </w:r>
      <w:r>
        <w:rPr>
          <w:b/>
          <w:sz w:val="24"/>
          <w:rtl/>
          <w:szCs w:val="24"/>
          <w:bCs/>
        </w:rPr>
        <w:t>תקנות למניעת הטרדה מינית (חובות מעביד), התשנ"ח-1998</w:t>
      </w:r>
      <w:r>
        <w:rPr>
          <w:sz w:val="24"/>
          <w:rtl/>
          <w:szCs w:val="24"/>
        </w:rPr>
        <w:t>, עליה גם לקבוע תקנון, לפרסמו ולמנות ממונה על מניעת הטרדה מינית. אורי לא התלונן, ולכן אין מקום לטענה שהחברה לא טיפלה בתלונה.</w:t>
      </w:r>
    </w:p>
    <w:p>
      <w:pPr>
        <w:bidi/>
        <w:spacing w:before="0" w:after="0"/>
        <w:jc w:val="both"/>
      </w:pPr>
      <w:r>
        <w:rPr>
          <w:b/>
          <w:sz w:val="24"/>
          <w:rtl/>
          <w:szCs w:val="24"/>
          <w:bCs/>
        </w:rPr>
        <w:t>התנכלות</w:t>
      </w:r>
      <w:r>
        <w:rPr>
          <w:sz w:val="24"/>
          <w:rtl/>
          <w:szCs w:val="24"/>
        </w:rPr>
        <w:t xml:space="preserve"> מוגדרת בסעיף 3(ב) כפגיעה מכל סוג שמקורה בהטרדה מינית או בתלונה עליה. העברתו של אורי לצוות טכני, חודש אחרי שביקש לסיים את השיחות, בצירוף השפעתה של דנה על השיבוץ, מעוררת חשד לקשר כזה. אבל טענת ההתנכלות תלויה בכך שההתנהגות שקדמה לה הייתה הטרדה מינית, ובהוכחה שההעברה נבעה ממנה ולא מצורכי העבודה. העובדות אינן מראות שדנה הייתה מעורבת בהחלטה.</w:t>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למעסיק </w:t>
      </w:r>
      <w:r>
        <w:rPr>
          <w:b/>
          <w:sz w:val="24"/>
          <w:rtl/>
          <w:szCs w:val="24"/>
          <w:bCs/>
        </w:rPr>
        <w:t>פררוגטיבה ניהולית</w:t>
      </w:r>
      <w:r>
        <w:rPr>
          <w:sz w:val="24"/>
          <w:rtl/>
          <w:szCs w:val="24"/>
        </w:rPr>
        <w:t xml:space="preserve"> לשנות באופן חד-צדדי נהלי עבודה, ובכלל זה לקבוע מי משתתף בישיבות. שינוי שחורג ממנה ופוגע בהכנסת העובד או ב</w:t>
      </w:r>
      <w:r>
        <w:rPr>
          <w:b/>
          <w:sz w:val="24"/>
          <w:rtl/>
          <w:szCs w:val="24"/>
          <w:bCs/>
        </w:rPr>
        <w:t>מעמדו בארגון</w:t>
      </w:r>
      <w:r>
        <w:rPr>
          <w:sz w:val="24"/>
          <w:rtl/>
          <w:szCs w:val="24"/>
        </w:rPr>
        <w:t xml:space="preserve"> הוא </w:t>
      </w:r>
      <w:r>
        <w:rPr>
          <w:b/>
          <w:sz w:val="24"/>
          <w:rtl/>
          <w:szCs w:val="24"/>
          <w:bCs/>
        </w:rPr>
        <w:t>הרעת תנאים</w:t>
      </w:r>
      <w:r>
        <w:rPr>
          <w:sz w:val="24"/>
          <w:rtl/>
          <w:szCs w:val="24"/>
        </w:rPr>
        <w:t xml:space="preserve"> והפרה של חוזה העבודה (הילדסהימר, 2026א). העברתו של אורי מהפרויקטים המרכזיים לעריכה טכנית, בלי ישיבות קריאטיב ועם פחות אחריות, היא פגיעה במעמד, אף ששכרו לא השתנה.</w:t>
      </w:r>
    </w:p>
    <w:p>
      <w:pPr>
        <w:bidi/>
        <w:spacing w:before="0" w:after="0"/>
        <w:jc w:val="both"/>
      </w:pPr>
      <w:r>
        <w:rPr>
          <w:sz w:val="24"/>
          <w:rtl/>
          <w:szCs w:val="24"/>
        </w:rPr>
        <w:t xml:space="preserve">לפי </w:t>
      </w:r>
      <w:r>
        <w:rPr>
          <w:b/>
          <w:sz w:val="24"/>
          <w:rtl/>
          <w:szCs w:val="24"/>
          <w:bCs/>
        </w:rPr>
        <w:t>סעיף 11(א) לחוק פיצויי פיטורים, התשכ"ג-1963</w:t>
      </w:r>
      <w:r>
        <w:rPr>
          <w:sz w:val="24"/>
          <w:rtl/>
          <w:szCs w:val="24"/>
        </w:rPr>
        <w:t xml:space="preserve">, התפטרות מחמת </w:t>
      </w:r>
      <w:r>
        <w:rPr>
          <w:b/>
          <w:sz w:val="24"/>
          <w:rtl/>
          <w:szCs w:val="24"/>
          <w:bCs/>
        </w:rPr>
        <w:t>הרעה מוחשית</w:t>
      </w:r>
      <w:r>
        <w:rPr>
          <w:sz w:val="24"/>
          <w:rtl/>
          <w:szCs w:val="24"/>
        </w:rPr>
        <w:t xml:space="preserve"> בתנאי העבודה, או מחמת נסיבות שבהן אין לדרוש מהעובד להמשיך בעבודתו, נחשבת כפיטורים. כדי לממש זכות זו על העובד לתת למעסיק </w:t>
      </w:r>
      <w:r>
        <w:rPr>
          <w:b/>
          <w:sz w:val="24"/>
          <w:rtl/>
          <w:szCs w:val="24"/>
          <w:bCs/>
        </w:rPr>
        <w:t>התראה</w:t>
      </w:r>
      <w:r>
        <w:rPr>
          <w:sz w:val="24"/>
          <w:rtl/>
          <w:szCs w:val="24"/>
        </w:rPr>
        <w:t xml:space="preserve"> ו</w:t>
      </w:r>
      <w:r>
        <w:rPr>
          <w:b/>
          <w:sz w:val="24"/>
          <w:rtl/>
          <w:szCs w:val="24"/>
          <w:bCs/>
        </w:rPr>
        <w:t>הזדמנות לתקן</w:t>
      </w:r>
      <w:r>
        <w:rPr>
          <w:sz w:val="24"/>
          <w:rtl/>
          <w:szCs w:val="24"/>
        </w:rPr>
        <w:t>, לפעול ב</w:t>
      </w:r>
      <w:r>
        <w:rPr>
          <w:b/>
          <w:sz w:val="24"/>
          <w:rtl/>
          <w:szCs w:val="24"/>
          <w:bCs/>
        </w:rPr>
        <w:t>תום לב</w:t>
      </w:r>
      <w:r>
        <w:rPr>
          <w:sz w:val="24"/>
          <w:rtl/>
          <w:szCs w:val="24"/>
        </w:rPr>
        <w:t xml:space="preserve"> ובלי </w:t>
      </w:r>
      <w:r>
        <w:rPr>
          <w:b/>
          <w:sz w:val="24"/>
          <w:rtl/>
          <w:szCs w:val="24"/>
          <w:bCs/>
        </w:rPr>
        <w:t>שיהוי</w:t>
      </w:r>
      <w:r>
        <w:rPr>
          <w:sz w:val="24"/>
          <w:rtl/>
          <w:szCs w:val="24"/>
        </w:rPr>
        <w:t>, שכן שיהוי עלול להתפרש כהסכמה בהתנהגות להרעה. ב</w:t>
      </w:r>
      <w:r>
        <w:rPr>
          <w:b/>
          <w:sz w:val="24"/>
          <w:rtl/>
          <w:szCs w:val="24"/>
          <w:bCs/>
        </w:rPr>
        <w:t>תב"ע (ארצי) נד/3-86 גולן נ' אי.אל.די. בע"מ</w:t>
      </w:r>
      <w:r>
        <w:rPr>
          <w:sz w:val="24"/>
          <w:rtl/>
          <w:szCs w:val="24"/>
        </w:rPr>
        <w:t xml:space="preserve">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לא ביקש לחזור לתפקידו, לא התריע על כוונתו להתפטר ועבד ארבעה חודשים במתכונת החדשה. התקופה קצרה מזו שבעניין גולן, אך בצירוף השתיקה המוחלטת נראה שהיא מלמדת על השלמה עם השינוי. גם החלופה של "נסיבות אחרות" אינה מסייעת לו: השיחות הסתיימו חודשים לפני ההתפטרות, ולא הוכח שהייתה הטרדה.</w:t>
      </w:r>
    </w:p>
    <w:p>
      <w:pPr>
        <w:bidi/>
        <w:spacing w:before="120" w:after="0"/>
        <w:jc w:val="both"/>
      </w:pPr>
      <w:r>
        <w:rPr>
          <w:b/>
          <w:sz w:val="24"/>
          <w:rtl/>
          <w:szCs w:val="24"/>
          <w:bCs/>
        </w:rPr>
        <w:t>4. סיכום</w:t>
      </w:r>
    </w:p>
    <w:p>
      <w:pPr>
        <w:bidi/>
        <w:spacing w:before="0" w:after="0"/>
        <w:jc w:val="both"/>
      </w:pPr>
      <w:r>
        <w:rPr>
          <w:sz w:val="24"/>
          <w:rtl/>
          <w:szCs w:val="24"/>
        </w:rPr>
        <w:t>לדעתי טענותיו של אורי אינן מבוססות. טענת ההטרדה המינית תלויה בהכרה ביחסי מרות לפי הלכת מדר, וגם אז קשה להראות התייחסויות חוזרות למיניותו או ניצול של יחסי המרות. טענת ההתנכלות תלויה בהוכחת ההטרדה ובקשר בינה לבין ההעברה. טענת ההתפטרות בדין מפוטר נכשלת בעיקר משום שלא ניתנה התראה ובשל השיהוי, לפי הלכת גולן. על Frame לוודא שיש לה תקנון וממונה כנדרש בסעיף 7(ב), ולהבהיר לעובדים ותיקים בעלי השפעה מה הם גבולות השיח האישי עם עובדים חדשים.</w:t>
      </w:r>
    </w:p>
    <w:p>
      <w:r>
        <w:br w:type="page"/>
      </w:r>
    </w:p>
    <w:p>
      <w:pPr>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פיצויי פיטורים, התשכ"ג-1963.</w:t>
      </w:r>
    </w:p>
    <w:p>
      <w:pPr>
        <w:bidi/>
        <w:spacing w:before="0" w:after="0"/>
        <w:jc w:val="both"/>
      </w:pPr>
      <w:r>
        <w:rPr>
          <w:sz w:val="24"/>
          <w:rtl/>
          <w:szCs w:val="24"/>
        </w:rPr>
        <w:t>תקנות למניעת הטרדה מינית (חובות מעביד), התשנ"ח-1998.</w:t>
      </w:r>
    </w:p>
    <w:p>
      <w:pPr>
        <w:bidi/>
        <w:spacing w:before="120" w:after="0"/>
        <w:jc w:val="both"/>
      </w:pPr>
      <w:r>
        <w:rPr>
          <w:b/>
          <w:sz w:val="24"/>
          <w:rtl/>
          <w:szCs w:val="24"/>
          <w:bCs/>
        </w:rPr>
        <w:t>פסיקה</w:t>
      </w:r>
    </w:p>
    <w:p>
      <w:pPr>
        <w:bidi/>
        <w:spacing w:before="0" w:after="0"/>
        <w:jc w:val="both"/>
      </w:pPr>
      <w:r>
        <w:rPr>
          <w:sz w:val="24"/>
          <w:rtl/>
          <w:szCs w:val="24"/>
        </w:rPr>
        <w:t>בג"ץ 7029/95 הסתדרות העובדים הכללית החדשה נ' בית הדין הארצי לעבודה ועמית, הסתדרות עובדים מכבי (1997).</w:t>
      </w:r>
    </w:p>
    <w:p>
      <w:pPr>
        <w:bidi/>
        <w:spacing w:before="0" w:after="0"/>
        <w:jc w:val="both"/>
      </w:pPr>
      <w:r>
        <w:rPr>
          <w:sz w:val="24"/>
          <w:rtl/>
          <w:szCs w:val="24"/>
        </w:rPr>
        <w:t>עס"ק (ארצי) 6298-03-25 הסתדרות העובדים הכללית החדשה נ' ארגון עובדי הפיתוח והשיווק בנוקיה (10.6.2025).</w:t>
      </w:r>
    </w:p>
    <w:p>
      <w:pPr>
        <w:bidi/>
        <w:spacing w:before="0" w:after="0"/>
        <w:jc w:val="both"/>
      </w:pPr>
      <w:r>
        <w:rPr>
          <w:sz w:val="24"/>
          <w:rtl/>
          <w:szCs w:val="24"/>
        </w:rPr>
        <w:t>עס"ק (ארצי) 25476-09-12 הסתדרות העובדים החדשה נ' פלאפון תקשורת בע"מ (2.1.2013).</w:t>
      </w:r>
    </w:p>
    <w:p>
      <w:pPr>
        <w:bidi/>
        <w:spacing w:before="0" w:after="0"/>
        <w:jc w:val="both"/>
      </w:pPr>
      <w:r>
        <w:rPr>
          <w:sz w:val="24"/>
          <w:rtl/>
          <w:szCs w:val="24"/>
        </w:rPr>
        <w:t>עש"ם 2203/05 מדר נ' נציבות שירות המדינה (21.7.2005).</w:t>
      </w:r>
    </w:p>
    <w:p>
      <w:pPr>
        <w:bidi/>
        <w:spacing w:before="0" w:after="0"/>
        <w:jc w:val="both"/>
      </w:pPr>
      <w:r>
        <w:rPr>
          <w:sz w:val="24"/>
          <w:rtl/>
          <w:szCs w:val="24"/>
        </w:rPr>
        <w:t>תב"ע (ארצי) נד/3-86 יוחנן גולן נ' אי.אל.די. בע"מ.</w:t>
      </w:r>
    </w:p>
    <w:p>
      <w:pPr>
        <w:bidi/>
        <w:spacing w:before="120" w:after="0"/>
        <w:jc w:val="both"/>
      </w:pPr>
      <w:r>
        <w:rPr>
          <w:b/>
          <w:sz w:val="24"/>
          <w:rtl/>
          <w:szCs w:val="24"/>
          <w:bCs/>
        </w:rPr>
        <w:t>ספרות וחומרי הקורס</w:t>
      </w:r>
    </w:p>
    <w:p>
      <w:pPr>
        <w:bidi/>
        <w:spacing w:before="0" w:after="0"/>
        <w:jc w:val="both"/>
      </w:pPr>
      <w:r>
        <w:rPr>
          <w:sz w:val="24"/>
          <w:rtl/>
          <w:szCs w:val="24"/>
        </w:rPr>
        <w:t>בן-ישראל, ר' (2002). דיני עבודה (כרך א', עמ' 32-48).</w:t>
      </w:r>
    </w:p>
    <w:p>
      <w:pPr>
        <w:bidi/>
        <w:spacing w:before="0" w:after="0"/>
        <w:jc w:val="both"/>
      </w:pPr>
      <w:r>
        <w:rPr>
          <w:sz w:val="24"/>
          <w:rtl/>
          <w:szCs w:val="24"/>
        </w:rPr>
        <w:t>הילדסהימר, ג' (2026א). חוזה עבודה אישי ומניעת הרעת תנאים, חלקים א'-ב' [מצגת הרצאה]. היבטים משפטיים ואתיים בייעוץ ופיתוח ארגוני, המרכז האקדמי פרס.</w:t>
      </w:r>
    </w:p>
    <w:p>
      <w:pPr>
        <w:bidi/>
        <w:spacing w:before="0" w:after="0"/>
        <w:jc w:val="both"/>
      </w:pPr>
      <w:r>
        <w:rPr>
          <w:sz w:val="24"/>
          <w:rtl/>
          <w:szCs w:val="24"/>
        </w:rPr>
        <w:t>הילדסהימר, ג' (2026ב). החוק למניעת הטרדה מינית, חלקים א'-ב' [מצגת הרצאה]. היבטים משפטיים ואתיים בייעוץ ופיתוח ארגוני, המרכז האקדמי פרס.</w:t>
      </w:r>
    </w:p>
    <w:p>
      <w:pPr>
        <w:bidi/>
        <w:spacing w:before="0" w:after="0"/>
        <w:jc w:val="both"/>
      </w:pPr>
      <w:r>
        <w:rPr>
          <w:sz w:val="24"/>
          <w:rtl/>
          <w:szCs w:val="24"/>
        </w:rPr>
        <w:t>הילדסהימר, ג' (2026ג). התארגנויות עובדים [מצגת הרצאה]. היבטים משפטיים ואתיים בייעוץ ופיתוח ארגוני, המרכז האקדמי פרס.</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