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rFonts w:ascii="David" w:hAnsi="David" w:cs="David"/>
          <w:b/>
          <w:color w:val="000000"/>
          <w:sz w:val="32"/>
          <w:szCs w:val="32"/>
          <w:rtl w:val="1"/>
        </w:rPr>
        <w:t>מכללת לוינסקי לחינוך</w:t>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b w:val="0"/>
          <w:color w:val="000000"/>
          <w:sz w:val="24"/>
          <w:szCs w:val="24"/>
          <w:rtl w:val="1"/>
        </w:rPr>
        <w:t>במקביל, מנהיגות לצדק חברתי במוסדות חינוך נתפסת כיכולת לזהות חסמים תרבותיים ומבניים, ולהפוך את המוסד למרחב שבו מוענקת תחושת שייכות וצדק לכלל הילדים, ללא קשר לרקע הסוציו-אקונומי שלהם. מנהיגות אפקטיבית כזו דורשת תכונות אישיות של חמלה וצניעות, לצד נכונות לנקוט אסטרטגיות יצירתיות להסרת חסמים עבור ילדים מוחלשים. תפיסות אלה, שנחקרו בעיקר בהקשר של מנהלים ומורים, טרם נבחנו דיין בהקשר הייחודי של הגננת.</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pStyle w:val="Heading2"/>
        <w:bidi w:val="1"/>
        <w:spacing w:line="360" w:lineRule="auto" w:before="280" w:after="160"/>
        <w:jc w:val="both"/>
      </w:pPr>
      <w:r>
        <w:rPr>
          <w:rFonts w:ascii="David" w:hAnsi="David" w:cs="David"/>
          <w:b/>
          <w:color w:val="000000"/>
          <w:sz w:val="26"/>
          <w:szCs w:val="26"/>
          <w:rtl w:val="1"/>
          <w:rtl w:val="1"/>
        </w:rPr>
        <w:t>2.7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before="0" w:after="120"/>
        <w:ind/>
        <w:jc w:val="both"/>
      </w:pPr>
      <w:r>
        <w:rPr>
          <w:rFonts w:ascii="David" w:hAnsi="David" w:cs="David"/>
          <w:b w:val="0"/>
          <w:color w:val="000000"/>
          <w:sz w:val="24"/>
          <w:szCs w:val="24"/>
          <w:rtl w:val="1"/>
        </w:rPr>
        <w:t>במסגרת המחקר רואיינו שש גננות בנוגע לתפיסתן את ההתנהלות הצודקת וההוגנת בגן. מניתוח הראיונות עלו שש קטגוריות גרעין מרכזיות, המספקות מענה לשאלת המחקר: (1) תפיסת המונח "צדק בגן"; (2) חלוקת משאב תשומת הלב הרגשית; (3) ההבחנה בין חלוקה שווה לחלוקה הוגנת; (4) חלוקת המשאבים הפיזיים והמרחב הקבוצתי; (5) צדק חברתי-כלכלי ומניעת בושה; (6) הגננת כסוכנת צדק וכמחנכת ערכים. להלן יפורטו הקטגוריות, בליווי ציטוטים מדגימים מדברי המרואיינות ועיגון בספרות המחקרית.</w:t>
      </w:r>
    </w:p>
    <w:p>
      <w:pPr>
        <w:bidi w:val="1"/>
        <w:pStyle w:val="Heading2"/>
        <w:bidi w:val="1"/>
        <w:spacing w:line="360" w:lineRule="auto" w:before="280" w:after="160"/>
        <w:jc w:val="both"/>
      </w:pPr>
      <w:r>
        <w:rPr>
          <w:rFonts w:ascii="David" w:hAnsi="David" w:cs="David"/>
          <w:b/>
          <w:color w:val="000000"/>
          <w:sz w:val="26"/>
          <w:szCs w:val="26"/>
          <w:rtl w:val="1"/>
          <w:rtl w:val="1"/>
        </w:rPr>
        <w:t>5.1 תפיסת המונח "צדק בגן"</w:t>
      </w:r>
    </w:p>
    <w:p>
      <w:pPr>
        <w:bidi w:val="1"/>
        <w:spacing w:line="360" w:lineRule="auto" w:before="0" w:after="120"/>
        <w:ind/>
        <w:jc w:val="both"/>
      </w:pPr>
      <w:r>
        <w:rPr>
          <w:rFonts w:ascii="David" w:hAnsi="David" w:cs="David"/>
          <w:b w:val="0"/>
          <w:color w:val="000000"/>
          <w:sz w:val="24"/>
          <w:szCs w:val="24"/>
          <w:rtl w:val="1"/>
        </w:rPr>
        <w:t>כל שש המרואיינות נתבקשו לתאר מה עולה בדעתן כשהן שומעות את המונח "צדק בגן". מן התשובות עלו שלוש תפיסות משנה, המשקפות דגשים שונים: צדק כראיית הילד הבודד וכערך מנחה, צדק כשוויון הזדמנויות, וצדק כהקשבה וכניהול מתחים בין צרכים.</w:t>
      </w:r>
    </w:p>
    <w:p>
      <w:pPr>
        <w:bidi w:val="1"/>
        <w:pStyle w:val="Heading3"/>
        <w:bidi w:val="1"/>
        <w:spacing w:line="360" w:lineRule="auto" w:before="280" w:after="160"/>
        <w:jc w:val="both"/>
      </w:pPr>
      <w:r>
        <w:rPr>
          <w:rFonts w:ascii="David" w:hAnsi="David" w:cs="David"/>
          <w:b/>
          <w:color w:val="000000"/>
          <w:sz w:val="24"/>
          <w:szCs w:val="24"/>
          <w:rtl w:val="1"/>
          <w:rtl w:val="1"/>
        </w:rPr>
        <w:t>5.1.1 צדק כראיית הילד הבודד וכערך מנחה</w:t>
      </w:r>
    </w:p>
    <w:p>
      <w:pPr>
        <w:bidi w:val="1"/>
        <w:spacing w:line="360" w:lineRule="auto" w:before="0" w:after="120"/>
        <w:ind/>
        <w:jc w:val="both"/>
      </w:pPr>
      <w:r>
        <w:rPr>
          <w:rFonts w:ascii="David" w:hAnsi="David" w:cs="David"/>
          <w:b w:val="0"/>
          <w:color w:val="000000"/>
          <w:sz w:val="24"/>
          <w:szCs w:val="24"/>
          <w:rtl w:val="1"/>
        </w:rPr>
        <w:t>מרואיינות אחדות תיארו את הצדק בגן כערך מנחה שעניינו ראיית הילד הספציפי ומתן מענה למה שהוא צריך, גם כאשר משמעות הדבר חלוקה שאינה זהה. שירה, שהגיעה מעולם העבודה הסוציאלית, ניסחה זאת:</w:t>
      </w:r>
    </w:p>
    <w:p>
      <w:pPr>
        <w:bidi w:val="1"/>
        <w:spacing w:line="360" w:lineRule="auto" w:before="80" w:after="160"/>
        <w:ind w:right="600" w:left="600"/>
        <w:jc w:val="both"/>
      </w:pPr>
      <w:r>
        <w:rPr>
          <w:rFonts w:ascii="David" w:hAnsi="David" w:cs="David"/>
          <w:i/>
          <w:color w:val="000000"/>
          <w:szCs w:val="24"/>
          <w:rtl w:val="1"/>
        </w:rPr>
        <w:t>"אבל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תמר הדגישה כי תפיסה זו דורשת עבודה והיכרות מעמיקה, ואינה מסתכמת בחלוקה שווה ופשוטה:</w:t>
      </w:r>
    </w:p>
    <w:p>
      <w:pPr>
        <w:bidi w:val="1"/>
        <w:spacing w:line="360" w:lineRule="auto" w:before="80" w:after="160"/>
        <w:ind w:right="600" w:left="600"/>
        <w:jc w:val="both"/>
      </w:pPr>
      <w:r>
        <w:rPr>
          <w:rFonts w:ascii="David" w:hAnsi="David" w:cs="David"/>
          <w:i/>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w:t>
      </w:r>
      <w:r>
        <w:rPr>
          <w:rFonts w:ascii="David" w:hAnsi="David" w:cs="David"/>
          <w:i/>
          <w:color w:val="000000"/>
          <w:szCs w:val="24"/>
          <w:rtl w:val="1"/>
        </w:rPr>
        <w:t xml:space="preserve">  (מרואיינת 4)</w:t>
      </w:r>
    </w:p>
    <w:p>
      <w:pPr>
        <w:bidi w:val="1"/>
        <w:spacing w:line="360" w:lineRule="auto" w:before="0" w:after="120"/>
        <w:ind/>
        <w:jc w:val="both"/>
      </w:pPr>
      <w:r>
        <w:rPr>
          <w:rFonts w:ascii="David" w:hAnsi="David" w:cs="David"/>
          <w:b w:val="0"/>
          <w:color w:val="000000"/>
          <w:sz w:val="24"/>
          <w:szCs w:val="24"/>
          <w:rtl w:val="1"/>
        </w:rPr>
        <w:t>תפיסה זו עולה בקנה אחד עם עיקרון הצורך בגישה הרב-ממדית לצדק חלוקתי, הקורא לחלוקה דיפרנציאלית המתעדפת את מי שזקוקים לתמיכה יתרה (Connell, 1993; סבג וביברמן-שלו, 2014). היא אף מהדהדת את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before="280" w:after="160"/>
        <w:jc w:val="both"/>
      </w:pPr>
      <w:r>
        <w:rPr>
          <w:rFonts w:ascii="David" w:hAnsi="David" w:cs="David"/>
          <w:b/>
          <w:color w:val="000000"/>
          <w:sz w:val="24"/>
          <w:szCs w:val="24"/>
          <w:rtl w:val="1"/>
          <w:rtl w:val="1"/>
        </w:rPr>
        <w:t>5.1.2 צדק כשוויון הזדמנויות וכצמצום פערים</w:t>
      </w:r>
    </w:p>
    <w:p>
      <w:pPr>
        <w:bidi w:val="1"/>
        <w:spacing w:line="360" w:lineRule="auto" w:before="0" w:after="120"/>
        <w:ind/>
        <w:jc w:val="both"/>
      </w:pPr>
      <w:r>
        <w:rPr>
          <w:rFonts w:ascii="David" w:hAnsi="David" w:cs="David"/>
          <w:b w:val="0"/>
          <w:color w:val="000000"/>
          <w:sz w:val="24"/>
          <w:szCs w:val="24"/>
          <w:rtl w:val="1"/>
        </w:rPr>
        <w:t>מרואיינות אחרות, ובמיוחד אלה המלמדות באוכלוסיות מוחלשות, הדגישו את ממד שוויון ההזדמנויות, כלומר את החתירה לכך שכל ילד, יהיה רקעו אשר יהיה, יזכה לאותה הזדמנות לממש את הפוטנציאל שלו. אסתר תיארה זאת כשליחות:</w:t>
      </w:r>
    </w:p>
    <w:p>
      <w:pPr>
        <w:bidi w:val="1"/>
        <w:spacing w:line="360" w:lineRule="auto" w:before="80" w:after="160"/>
        <w:ind w:right="600" w:left="600"/>
        <w:jc w:val="both"/>
      </w:pPr>
      <w:r>
        <w:rPr>
          <w:rFonts w:ascii="David" w:hAnsi="David" w:cs="David"/>
          <w:i/>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תפיסה זו תואמת את ההמשגה של שוויון ההזדמנויות כשווה-ערך לצדק החברתי בחינוך, בייחוד בגישתו המהותית, המבקשת להתחשב בנקודת הפתיחה השונה של הילד ולפעול לצמצום פערים מובְנים (דהאן, 2010; אדלר ובלס, 2009).</w:t>
      </w:r>
    </w:p>
    <w:p>
      <w:pPr>
        <w:bidi w:val="1"/>
        <w:pStyle w:val="Heading3"/>
        <w:bidi w:val="1"/>
        <w:spacing w:line="360" w:lineRule="auto" w:before="280" w:after="160"/>
        <w:jc w:val="both"/>
      </w:pPr>
      <w:r>
        <w:rPr>
          <w:rFonts w:ascii="David" w:hAnsi="David" w:cs="David"/>
          <w:b/>
          <w:color w:val="000000"/>
          <w:sz w:val="24"/>
          <w:szCs w:val="24"/>
          <w:rtl w:val="1"/>
          <w:rtl w:val="1"/>
        </w:rPr>
        <w:t>5.1.3 צדק כהקשבה וכניהול מתחים</w:t>
      </w:r>
    </w:p>
    <w:p>
      <w:pPr>
        <w:bidi w:val="1"/>
        <w:spacing w:line="360" w:lineRule="auto" w:before="0" w:after="120"/>
        <w:ind/>
        <w:jc w:val="both"/>
      </w:pPr>
      <w:r>
        <w:rPr>
          <w:rFonts w:ascii="David" w:hAnsi="David" w:cs="David"/>
          <w:b w:val="0"/>
          <w:color w:val="000000"/>
          <w:sz w:val="24"/>
          <w:szCs w:val="24"/>
          <w:rtl w:val="1"/>
        </w:rPr>
        <w:t>נעמה, שעולמה המקצועי רגשי, הציגה תפיסה ייחודית שלפיה הצדק אינו תשובה מוכנה אלא תהליך של הקשבה וניהול מתחים בין צרכים מתנגשים:</w:t>
      </w:r>
    </w:p>
    <w:p>
      <w:pPr>
        <w:bidi w:val="1"/>
        <w:spacing w:line="360" w:lineRule="auto" w:before="80" w:after="160"/>
        <w:ind w:right="600" w:left="600"/>
        <w:jc w:val="both"/>
      </w:pPr>
      <w:r>
        <w:rPr>
          <w:rFonts w:ascii="David" w:hAnsi="David" w:cs="David"/>
          <w:i/>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w:t>
      </w:r>
      <w:r>
        <w:rPr>
          <w:rFonts w:ascii="David" w:hAnsi="David" w:cs="David"/>
          <w:i/>
          <w:color w:val="000000"/>
          <w:szCs w:val="24"/>
          <w:rtl w:val="1"/>
        </w:rPr>
        <w:t xml:space="preserve">  (מרואיינת 5)</w:t>
      </w:r>
    </w:p>
    <w:p>
      <w:pPr>
        <w:bidi w:val="1"/>
        <w:spacing w:line="360" w:lineRule="auto" w:before="0" w:after="120"/>
        <w:ind/>
        <w:jc w:val="both"/>
      </w:pPr>
      <w:r>
        <w:rPr>
          <w:rFonts w:ascii="David" w:hAnsi="David" w:cs="David"/>
          <w:b w:val="0"/>
          <w:color w:val="000000"/>
          <w:sz w:val="24"/>
          <w:szCs w:val="24"/>
          <w:rtl w:val="1"/>
        </w:rPr>
        <w:t>תפיסה זו מתכתבת עם מושג הצדק האינטראקציוני והפרוצדורלי, המדגיש כי לא רק תוצאת החלוקה חשובה, אלא בעיקר איכות היחס וההליך: מתן כבוד, הגינות ותחושה של הכרה והקשבה (Horan, Chory &amp; Goodboy, 2010; Jiang et al., 2018).</w:t>
      </w:r>
    </w:p>
    <w:p>
      <w:pPr>
        <w:bidi w:val="1"/>
        <w:pStyle w:val="Heading2"/>
        <w:bidi w:val="1"/>
        <w:spacing w:line="360" w:lineRule="auto" w:before="280" w:after="160"/>
        <w:jc w:val="both"/>
      </w:pPr>
      <w:r>
        <w:rPr>
          <w:rFonts w:ascii="David" w:hAnsi="David" w:cs="David"/>
          <w:b/>
          <w:color w:val="000000"/>
          <w:sz w:val="26"/>
          <w:szCs w:val="26"/>
          <w:rtl w:val="1"/>
          <w:rtl w:val="1"/>
        </w:rPr>
        <w:t>5.2 חלוקת משאב תשומת הלב הרגשית</w:t>
      </w:r>
    </w:p>
    <w:p>
      <w:pPr>
        <w:bidi w:val="1"/>
        <w:spacing w:line="360" w:lineRule="auto" w:before="0" w:after="120"/>
        <w:ind/>
        <w:jc w:val="both"/>
      </w:pPr>
      <w:r>
        <w:rPr>
          <w:rFonts w:ascii="David" w:hAnsi="David" w:cs="David"/>
          <w:b w:val="0"/>
          <w:color w:val="000000"/>
          <w:sz w:val="24"/>
          <w:szCs w:val="24"/>
          <w:rtl w:val="1"/>
        </w:rPr>
        <w:t>כל המרואיינות התייחסו לתשומת הלב הרגשית כאל משאב מרכזי, ואולי המרכזי ביותר, שהן נדרשות לחלק בצדק. מן הראיונות עלו שני עקרונות משלימים: חלוקה לפי צורך, ותשומת לב מיוחדת לילד השקט.</w:t>
      </w:r>
    </w:p>
    <w:p>
      <w:pPr>
        <w:bidi w:val="1"/>
        <w:pStyle w:val="Heading3"/>
        <w:bidi w:val="1"/>
        <w:spacing w:line="360" w:lineRule="auto" w:before="280" w:after="160"/>
        <w:jc w:val="both"/>
      </w:pPr>
      <w:r>
        <w:rPr>
          <w:rFonts w:ascii="David" w:hAnsi="David" w:cs="David"/>
          <w:b/>
          <w:color w:val="000000"/>
          <w:sz w:val="24"/>
          <w:szCs w:val="24"/>
          <w:rtl w:val="1"/>
          <w:rtl w:val="1"/>
        </w:rPr>
        <w:t>5.2.1 חלוקה לפי עיקרון הצורך</w:t>
      </w:r>
    </w:p>
    <w:p>
      <w:pPr>
        <w:bidi w:val="1"/>
        <w:spacing w:line="360" w:lineRule="auto" w:before="0" w:after="120"/>
        <w:ind/>
        <w:jc w:val="both"/>
      </w:pPr>
      <w:r>
        <w:rPr>
          <w:rFonts w:ascii="David" w:hAnsi="David" w:cs="David"/>
          <w:b w:val="0"/>
          <w:color w:val="000000"/>
          <w:sz w:val="24"/>
          <w:szCs w:val="24"/>
          <w:rtl w:val="1"/>
        </w:rPr>
        <w:t>רוב המרואיינות תיארו כי הן מעניקות תשומת לב מוגברת לילד שזקוק לה, מתוך הבנה שזוהי הוגנות ולא הפליה. רבקה תיארה אסטרטגיה מגובשת:</w:t>
      </w:r>
    </w:p>
    <w:p>
      <w:pPr>
        <w:bidi w:val="1"/>
        <w:spacing w:line="360" w:lineRule="auto" w:before="80" w:after="160"/>
        <w:ind w:right="600" w:left="600"/>
        <w:jc w:val="both"/>
      </w:pPr>
      <w:r>
        <w:rPr>
          <w:rFonts w:ascii="David" w:hAnsi="David" w:cs="David"/>
          <w:i/>
          <w:color w:val="000000"/>
          <w:szCs w:val="24"/>
          <w:rtl w:val="1"/>
        </w:rPr>
        <w:t>"אלה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שירה הוסיפה כי היא מגייסת את הקבוצה לשותפות במקום להותיר אותה בתחושת קיפוח, וכי בלי הצוות התומך לא ניתן לתת לילד הבודד את שהוא צריך. תפיסות אלה מבטאות יישום מובהק של עיקרון הצורך בחלוקת המשאב הרך, ומדגימות את המתח בין אינטרס הפרט לטובת הכלל, מתח שהוא חלק בלתי נפרד מן העשייה החינוכית (סבג וביברמן-שלו, 2014).</w:t>
      </w:r>
    </w:p>
    <w:p>
      <w:pPr>
        <w:bidi w:val="1"/>
        <w:pStyle w:val="Heading3"/>
        <w:bidi w:val="1"/>
        <w:spacing w:line="360" w:lineRule="auto" w:before="280" w:after="160"/>
        <w:jc w:val="both"/>
      </w:pPr>
      <w:r>
        <w:rPr>
          <w:rFonts w:ascii="David" w:hAnsi="David" w:cs="David"/>
          <w:b/>
          <w:color w:val="000000"/>
          <w:sz w:val="24"/>
          <w:szCs w:val="24"/>
          <w:rtl w:val="1"/>
          <w:rtl w:val="1"/>
        </w:rPr>
        <w:t>5.2.2 הילד השקט: מאבק בעוול הסמוי</w:t>
      </w:r>
    </w:p>
    <w:p>
      <w:pPr>
        <w:bidi w:val="1"/>
        <w:spacing w:line="360" w:lineRule="auto" w:before="0" w:after="120"/>
        <w:ind/>
        <w:jc w:val="both"/>
      </w:pPr>
      <w:r>
        <w:rPr>
          <w:rFonts w:ascii="David" w:hAnsi="David" w:cs="David"/>
          <w:b w:val="0"/>
          <w:color w:val="000000"/>
          <w:sz w:val="24"/>
          <w:szCs w:val="24"/>
          <w:rtl w:val="1"/>
        </w:rPr>
        <w:t>ממצא בולט וחוזר היה המודעות לכך שהילד השקט והנוח הוא זה הנמצא בסיכון הגדול ביותר להיעלם מן הרדאר לטובת הרועש והדורש. יעל, גננת צעירה, תיארה זאת כרגע מכונן שבו תיעדה את חלוקת תשומת הלב שלה:</w:t>
      </w:r>
    </w:p>
    <w:p>
      <w:pPr>
        <w:bidi w:val="1"/>
        <w:spacing w:line="360" w:lineRule="auto" w:before="80" w:after="160"/>
        <w:ind w:right="600" w:left="600"/>
        <w:jc w:val="both"/>
      </w:pPr>
      <w:r>
        <w:rPr>
          <w:rFonts w:ascii="David" w:hAnsi="David" w:cs="David"/>
          <w:i/>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אסתר, המלמדת בגן עתיר צרכים, הדגישה כי דווקא בסביבה שבה הצרכים הגדולים תופסים מקום רב, קל לשקט להיבלע, ולכן היא מחפשת אותו באופן פעיל. מודעות זו ממחישה כי הגננות תופסות את חלוקת תשומת הלב לא כתהליך אינטואיטיבי בלבד אלא כפעולה מכוונת ושיטתית, שכן ההיענות האינטואיטיבית לרועש עלולה כשלעצמה להוליד אי-צדק.</w:t>
      </w:r>
    </w:p>
    <w:p>
      <w:pPr>
        <w:bidi w:val="1"/>
        <w:pStyle w:val="Heading2"/>
        <w:bidi w:val="1"/>
        <w:spacing w:line="360" w:lineRule="auto" w:before="280" w:after="160"/>
        <w:jc w:val="both"/>
      </w:pPr>
      <w:r>
        <w:rPr>
          <w:rFonts w:ascii="David" w:hAnsi="David" w:cs="David"/>
          <w:b/>
          <w:color w:val="000000"/>
          <w:sz w:val="26"/>
          <w:szCs w:val="26"/>
          <w:rtl w:val="1"/>
          <w:rtl w:val="1"/>
        </w:rPr>
        <w:t>5.3 ההבחנה בין חלוקה שווה לחלוקה הוגנת</w:t>
      </w:r>
    </w:p>
    <w:p>
      <w:pPr>
        <w:bidi w:val="1"/>
        <w:spacing w:line="360" w:lineRule="auto" w:before="0" w:after="120"/>
        <w:ind/>
        <w:jc w:val="both"/>
      </w:pPr>
      <w:r>
        <w:rPr>
          <w:rFonts w:ascii="David" w:hAnsi="David" w:cs="David"/>
          <w:b w:val="0"/>
          <w:color w:val="000000"/>
          <w:sz w:val="24"/>
          <w:szCs w:val="24"/>
          <w:rtl w:val="1"/>
        </w:rPr>
        <w:t>כל שש המרואיינות הבחינו באופן חד וברור בין חלוקה "שווה" לחלוקה "הוגנת", ותפסו את ההוגנות כעולה על השוויון המכני. ההבחנה הודגמה בדוגמאות קונקרטיות מן הגן. אסתר תיארה דוגמה מזמן הארוחה:</w:t>
      </w:r>
    </w:p>
    <w:p>
      <w:pPr>
        <w:bidi w:val="1"/>
        <w:spacing w:line="360" w:lineRule="auto" w:before="80" w:after="160"/>
        <w:ind w:right="600" w:left="600"/>
        <w:jc w:val="both"/>
      </w:pPr>
      <w:r>
        <w:rPr>
          <w:rFonts w:ascii="David" w:hAnsi="David" w:cs="David"/>
          <w:i/>
          <w:color w:val="000000"/>
          <w:szCs w:val="24"/>
          <w:rtl w:val="1"/>
        </w:rPr>
        <w:t>"אצל הילד הרעב זו אותה שאלה. פרוסה לכולם זה שווה, אבל להביא ליוסי עוד ארוחה בבוקר בלי לספר לאף אחד זה הוגן. אני חיה על ההבחנה הזאת."</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תמר תיארה כיצד ויתרה על תחרויות ריצה קלאסיות לטובת משחקים שיתופיים, כדי שילד עם קושי מוטורי לא יחווה השפלה, ויעל סיפרה כי היא מלמדת את ההבחנה במפורש באמצעות דימוי חזותי של ילדים בגבהים שונים הזקוקים למספר שונה של ארגזים:</w:t>
      </w:r>
    </w:p>
    <w:p>
      <w:pPr>
        <w:bidi w:val="1"/>
        <w:spacing w:line="360" w:lineRule="auto" w:before="80" w:after="160"/>
        <w:ind w:right="600" w:left="600"/>
        <w:jc w:val="both"/>
      </w:pPr>
      <w:r>
        <w:rPr>
          <w:rFonts w:ascii="David" w:hAnsi="David" w:cs="David"/>
          <w:i/>
          <w:color w:val="000000"/>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w:t>
      </w:r>
      <w:r>
        <w:rPr>
          <w:rFonts w:ascii="David" w:hAnsi="David" w:cs="David"/>
          <w:i/>
          <w:color w:val="000000"/>
          <w:szCs w:val="24"/>
          <w:rtl w:val="1"/>
        </w:rPr>
        <w:t xml:space="preserve">  (מרואיינת 3)</w:t>
      </w:r>
    </w:p>
    <w:p>
      <w:pPr>
        <w:bidi w:val="1"/>
        <w:spacing w:line="360" w:lineRule="auto" w:before="0" w:after="120"/>
        <w:ind/>
        <w:jc w:val="both"/>
      </w:pPr>
      <w:r>
        <w:rPr>
          <w:rFonts w:ascii="David" w:hAnsi="David" w:cs="David"/>
          <w:b w:val="0"/>
          <w:color w:val="000000"/>
          <w:sz w:val="24"/>
          <w:szCs w:val="24"/>
          <w:rtl w:val="1"/>
        </w:rPr>
        <w:t>ממצא זה הוא לב לבו של המחקר, והוא מבטא באופן מובהק את המעבר מן התפיסה הפורמלית של השוויון אל ההוגנות המהותית, המבוססת על עיקרון הצורך (דהאן, 2010; Connell, 1993). ההבחנה החדה שעורכות כל הגננות מעידה כי בגן, בהיעדר משאב מדיד כמו ציון, ההוגנות מבוססת-הצורך היא עקרון החלוקה הדומיננטי בעיניהן.</w:t>
      </w:r>
    </w:p>
    <w:p>
      <w:pPr>
        <w:bidi w:val="1"/>
        <w:pStyle w:val="Heading2"/>
        <w:bidi w:val="1"/>
        <w:spacing w:line="360" w:lineRule="auto" w:before="280" w:after="160"/>
        <w:jc w:val="both"/>
      </w:pPr>
      <w:r>
        <w:rPr>
          <w:rFonts w:ascii="David" w:hAnsi="David" w:cs="David"/>
          <w:b/>
          <w:color w:val="000000"/>
          <w:sz w:val="26"/>
          <w:szCs w:val="26"/>
          <w:rtl w:val="1"/>
          <w:rtl w:val="1"/>
        </w:rPr>
        <w:t>5.4 חלוקת המשאבים הפיזיים והמרחב הקבוצתי</w:t>
      </w:r>
    </w:p>
    <w:p>
      <w:pPr>
        <w:bidi w:val="1"/>
        <w:pStyle w:val="Heading3"/>
        <w:bidi w:val="1"/>
        <w:spacing w:line="360" w:lineRule="auto" w:before="280" w:after="160"/>
        <w:jc w:val="both"/>
      </w:pPr>
      <w:r>
        <w:rPr>
          <w:rFonts w:ascii="David" w:hAnsi="David" w:cs="David"/>
          <w:b/>
          <w:color w:val="000000"/>
          <w:sz w:val="24"/>
          <w:szCs w:val="24"/>
          <w:rtl w:val="1"/>
          <w:rtl w:val="1"/>
        </w:rPr>
        <w:t>5.4.1 שקיפות, תור וכללים משותפים</w:t>
      </w:r>
    </w:p>
    <w:p>
      <w:pPr>
        <w:bidi w:val="1"/>
        <w:spacing w:line="360" w:lineRule="auto" w:before="0" w:after="120"/>
        <w:ind/>
        <w:jc w:val="both"/>
      </w:pPr>
      <w:r>
        <w:rPr>
          <w:rFonts w:ascii="David" w:hAnsi="David" w:cs="David"/>
          <w:b w:val="0"/>
          <w:color w:val="000000"/>
          <w:sz w:val="24"/>
          <w:szCs w:val="24"/>
          <w:rtl w:val="1"/>
        </w:rPr>
        <w:t>המרואיינות תיארו כי חלוקת המשאבים הפיזיים (צעצועים, ציוד, אופניים) מתבצעת באמצעות מערכות שקופות של תורים וכללים. רבקה הדגישה כי השקיפות עצמה היא מקור ההוגנות:</w:t>
      </w:r>
    </w:p>
    <w:p>
      <w:pPr>
        <w:bidi w:val="1"/>
        <w:spacing w:line="360" w:lineRule="auto" w:before="80" w:after="160"/>
        <w:ind w:right="600" w:left="600"/>
        <w:jc w:val="both"/>
      </w:pPr>
      <w:r>
        <w:rPr>
          <w:rFonts w:ascii="David" w:hAnsi="David" w:cs="David"/>
          <w:i/>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יעל הוסיפה ממד של שיתוף הילדים בקביעת הכללים, מתוך אמונה שתחושת הבעלות מחזקת את המחויבות ואת תפיסת ההוגנות. גישות אלה מבטאות את חשיבותו של הצדק הפרוצדורלי, כלומר של ההליך השקוף והעקבי, בבניית תחושת האמון וההוגנות בקרב הילדים (Jiang et al., 2018).</w:t>
      </w:r>
    </w:p>
    <w:p>
      <w:pPr>
        <w:bidi w:val="1"/>
        <w:pStyle w:val="Heading3"/>
        <w:bidi w:val="1"/>
        <w:spacing w:line="360" w:lineRule="auto" w:before="280" w:after="160"/>
        <w:jc w:val="both"/>
      </w:pPr>
      <w:r>
        <w:rPr>
          <w:rFonts w:ascii="David" w:hAnsi="David" w:cs="David"/>
          <w:b/>
          <w:color w:val="000000"/>
          <w:sz w:val="24"/>
          <w:szCs w:val="24"/>
          <w:rtl w:val="1"/>
          <w:rtl w:val="1"/>
        </w:rPr>
        <w:t>5.4.2 איזון המרחב הקבוצתי והתמודדות עם הדרה</w:t>
      </w:r>
    </w:p>
    <w:p>
      <w:pPr>
        <w:bidi w:val="1"/>
        <w:spacing w:line="360" w:lineRule="auto" w:before="0" w:after="120"/>
        <w:ind/>
        <w:jc w:val="both"/>
      </w:pPr>
      <w:r>
        <w:rPr>
          <w:rFonts w:ascii="David" w:hAnsi="David" w:cs="David"/>
          <w:b w:val="0"/>
          <w:color w:val="000000"/>
          <w:sz w:val="24"/>
          <w:szCs w:val="24"/>
          <w:rtl w:val="1"/>
        </w:rPr>
        <w:t>כל המרואיינות תיארו התמודדות עם ילד ה"לוקח" מקום רב במרחב הקבוצתי, ועם מצבים של הדרה חברתית. עמדתן המשותפת הייתה שאין לדכא את הילד הדומיננטי אלא לתעל אותו, ובד בבד להעצים את השקטים, כדי לאזן את המרחב על-ידי הגדלה של אחרים ולא על-ידי הקטנה של מישהו. באשר להדרה, הדגישו המרואיינות כי אין לכפות משחק, אלא לשקם את מעמדו החברתי של הילד המודר. אסתר קישרה זאת במפורש לצדק חברתי:</w:t>
      </w:r>
    </w:p>
    <w:p>
      <w:pPr>
        <w:bidi w:val="1"/>
        <w:spacing w:line="360" w:lineRule="auto" w:before="80" w:after="160"/>
        <w:ind w:right="600" w:left="600"/>
        <w:jc w:val="both"/>
      </w:pPr>
      <w:r>
        <w:rPr>
          <w:rFonts w:ascii="David" w:hAnsi="David" w:cs="David"/>
          <w:i/>
          <w:color w:val="000000"/>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w:t>
      </w:r>
      <w:r>
        <w:rPr>
          <w:rFonts w:ascii="David" w:hAnsi="David" w:cs="David"/>
          <w:i/>
          <w:color w:val="000000"/>
          <w:szCs w:val="24"/>
          <w:rtl w:val="1"/>
        </w:rPr>
        <w:t xml:space="preserve">  (מרואיינת 6)</w:t>
      </w:r>
    </w:p>
    <w:p>
      <w:pPr>
        <w:bidi w:val="1"/>
        <w:spacing w:line="360" w:lineRule="auto" w:before="0" w:after="120"/>
        <w:ind/>
        <w:jc w:val="both"/>
      </w:pPr>
      <w:r>
        <w:rPr>
          <w:rFonts w:ascii="David" w:hAnsi="David" w:cs="David"/>
          <w:b w:val="0"/>
          <w:color w:val="000000"/>
          <w:sz w:val="24"/>
          <w:szCs w:val="24"/>
          <w:rtl w:val="1"/>
        </w:rPr>
        <w:t>ממצא זה ממחיש כיצד ההדרה החברתית נתפסת בעיני הגננות לא רק כבעיה חברתית-רגשית, אלא כסוגיית צדק חלוקתי מובהקת, שבה תפקידה של הגננת הוא התערבות אקטיבית לצמצום עוול (Lang et al., 2024).</w:t>
      </w:r>
    </w:p>
    <w:p>
      <w:pPr>
        <w:bidi w:val="1"/>
        <w:pStyle w:val="Heading2"/>
        <w:bidi w:val="1"/>
        <w:spacing w:line="360" w:lineRule="auto" w:before="280" w:after="160"/>
        <w:jc w:val="both"/>
      </w:pPr>
      <w:r>
        <w:rPr>
          <w:rFonts w:ascii="David" w:hAnsi="David" w:cs="David"/>
          <w:b/>
          <w:color w:val="000000"/>
          <w:sz w:val="26"/>
          <w:szCs w:val="26"/>
          <w:rtl w:val="1"/>
          <w:rtl w:val="1"/>
        </w:rPr>
        <w:t>5.5 צדק חברתי-כלכלי ומניעת בושה</w:t>
      </w:r>
    </w:p>
    <w:p>
      <w:pPr>
        <w:bidi w:val="1"/>
        <w:spacing w:line="360" w:lineRule="auto" w:before="0" w:after="120"/>
        <w:ind/>
        <w:jc w:val="both"/>
      </w:pPr>
      <w:r>
        <w:rPr>
          <w:rFonts w:ascii="David" w:hAnsi="David" w:cs="David"/>
          <w:b w:val="0"/>
          <w:color w:val="000000"/>
          <w:sz w:val="24"/>
          <w:szCs w:val="24"/>
          <w:rtl w:val="1"/>
        </w:rPr>
        <w:t>כל המרואיינות זיהו את הרקע החברתי-כלכלי השונה של הילדים כסוגיה מרכזית, ותיארו מאמץ מכוון למנוע בושה ולצמצם את החשיפה של הפערים. רבקה תיארה כלל אחיד שקבעה לגבי ימי הולדת:</w:t>
      </w:r>
    </w:p>
    <w:p>
      <w:pPr>
        <w:bidi w:val="1"/>
        <w:spacing w:line="360" w:lineRule="auto" w:before="80" w:after="160"/>
        <w:ind w:right="600" w:left="600"/>
        <w:jc w:val="both"/>
      </w:pPr>
      <w:r>
        <w:rPr>
          <w:rFonts w:ascii="David" w:hAnsi="David" w:cs="David"/>
          <w:i/>
          <w:color w:val="000000"/>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w:t>
      </w:r>
      <w:r>
        <w:rPr>
          <w:rFonts w:ascii="David" w:hAnsi="David" w:cs="David"/>
          <w:i/>
          <w:color w:val="000000"/>
          <w:szCs w:val="24"/>
          <w:rtl w:val="1"/>
        </w:rPr>
        <w:t xml:space="preserve">  (מרואיינת 2)</w:t>
      </w:r>
    </w:p>
    <w:p>
      <w:pPr>
        <w:bidi w:val="1"/>
        <w:spacing w:line="360" w:lineRule="auto" w:before="0" w:after="120"/>
        <w:ind/>
        <w:jc w:val="both"/>
      </w:pPr>
      <w:r>
        <w:rPr>
          <w:rFonts w:ascii="David" w:hAnsi="David" w:cs="David"/>
          <w:b w:val="0"/>
          <w:color w:val="000000"/>
          <w:sz w:val="24"/>
          <w:szCs w:val="24"/>
          <w:rtl w:val="1"/>
        </w:rPr>
        <w:t>תמר, שגדלה בעצמה במיעוט אמצעים, תיארה החלטה עקרונית שכל החומרים המשמעותיים יגיעו מן הגן ולא מן הבית, כדי שברגע שהילדים עוברים את שער הגן הם נכנסים למרחב שבו כולם שווים. מאמצים אלה מבטאים תפיסה של הגן כמרחב המבקש לצמצם פערים ולא לשקף אותם, ומתחברים לספרות על הצדק החברתי בחינוך כפעולה מתקנת מול ריבוד חברתי-כלכלי (דהאן, 2010; אדלר ובלס, 2009; Elenbaas &amp; Mistry, 2021).</w:t>
      </w:r>
    </w:p>
    <w:p>
      <w:pPr>
        <w:bidi w:val="1"/>
        <w:pStyle w:val="Heading2"/>
        <w:bidi w:val="1"/>
        <w:spacing w:line="360" w:lineRule="auto" w:before="280" w:after="160"/>
        <w:jc w:val="both"/>
      </w:pPr>
      <w:r>
        <w:rPr>
          <w:rFonts w:ascii="David" w:hAnsi="David" w:cs="David"/>
          <w:b/>
          <w:color w:val="000000"/>
          <w:sz w:val="26"/>
          <w:szCs w:val="26"/>
          <w:rtl w:val="1"/>
          <w:rtl w:val="1"/>
        </w:rPr>
        <w:t>5.6 הגננת כסוכנת צדק וכמחנכת ערכים</w:t>
      </w:r>
    </w:p>
    <w:p>
      <w:pPr>
        <w:bidi w:val="1"/>
        <w:spacing w:line="360" w:lineRule="auto" w:before="0" w:after="120"/>
        <w:ind/>
        <w:jc w:val="both"/>
      </w:pPr>
      <w:r>
        <w:rPr>
          <w:rFonts w:ascii="David" w:hAnsi="David" w:cs="David"/>
          <w:b w:val="0"/>
          <w:color w:val="000000"/>
          <w:sz w:val="24"/>
          <w:szCs w:val="24"/>
          <w:rtl w:val="1"/>
        </w:rPr>
        <w:t>כל שש המרואיינות תפסו את תפקידן ככולל, ואף כמתמקד, בקידום ערכים של שוויון וצדק חברתי, וראו בכך שליחות ולא תוספת. הן הדגישו כי הילדים לומדים צדק לא מהטפה אלא מדוגמה אישית. שירה ניסחה זאת:</w:t>
      </w:r>
    </w:p>
    <w:p>
      <w:pPr>
        <w:bidi w:val="1"/>
        <w:spacing w:line="360" w:lineRule="auto" w:before="80" w:after="160"/>
        <w:ind w:right="600" w:left="600"/>
        <w:jc w:val="both"/>
      </w:pPr>
      <w:r>
        <w:rPr>
          <w:rFonts w:ascii="David" w:hAnsi="David" w:cs="David"/>
          <w:i/>
          <w:color w:val="000000"/>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r>
        <w:rPr>
          <w:rFonts w:ascii="David" w:hAnsi="David" w:cs="David"/>
          <w:i/>
          <w:color w:val="000000"/>
          <w:szCs w:val="24"/>
          <w:rtl w:val="1"/>
        </w:rPr>
        <w:t xml:space="preserve">  (מרואיינת 1)</w:t>
      </w:r>
    </w:p>
    <w:p>
      <w:pPr>
        <w:bidi w:val="1"/>
        <w:spacing w:line="360" w:lineRule="auto" w:before="0" w:after="120"/>
        <w:ind/>
        <w:jc w:val="both"/>
      </w:pPr>
      <w:r>
        <w:rPr>
          <w:rFonts w:ascii="David" w:hAnsi="David" w:cs="David"/>
          <w:b w:val="0"/>
          <w:color w:val="000000"/>
          <w:sz w:val="24"/>
          <w:szCs w:val="24"/>
          <w:rtl w:val="1"/>
        </w:rPr>
        <w:t>המרואיינות תיארו כי גיל הגן הוא הגיל שבו נבנות התפיסות הבסיסיות על שוויון ושייכות, וכי הן רואות עצמן זורעות את יסודות החברה העתידית. תפיסה זו תואמת את ההמשגה של הגננת כסוכנת הצדק הראשונה של הילד, ומתכתבת עם הספרות המדגישה את תפקידה כדמות מוסרית וכסוכנת שינוי, אך גם עם הממצא בדבר השונות הרבה בין גננות במידת המודעות המפורשת ובכלים שברשותן (Solehuddin &amp; Adriany, 2017; Lang et al., 2024; Ryan &amp; Grieshaber, 2024).</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ביקש המחקר לתת קול לגננות עצמן, ולבחון את עולמן המקצועי והערכי דרך ראיונות עומק חצי-מובנים עם שש גננות בעלות ותק, רקע ואוכלוסיית גן מגוונים.</w:t>
      </w:r>
    </w:p>
    <w:p>
      <w:pPr>
        <w:bidi w:val="1"/>
        <w:spacing w:line="360" w:lineRule="auto" w:before="0" w:after="120"/>
        <w:ind/>
        <w:jc w:val="both"/>
      </w:pPr>
      <w:r>
        <w:rPr>
          <w:rFonts w:ascii="David" w:hAnsi="David" w:cs="David"/>
          <w:b w:val="0"/>
          <w:color w:val="000000"/>
          <w:sz w:val="24"/>
          <w:szCs w:val="24"/>
          <w:rtl w:val="1"/>
        </w:rPr>
        <w:t>ניתוח הנתונים חשף שש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ו-(ו)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ולא להתייחס לכולם באופן זהה כדי להשיג צדק חברתי אמיתי. בעוד שבבית הספר נמצא כי עיקרון ההוגנות מבוסס-התפוקה הוא הדומיננטי בחלוקת ציונים (קרמרסקי ורש, 2004; סבג וביברמן-שלו, 2014), מלמד המחקר הנוכחי כי בגן, בהיעדר משאב מדיד כמו ציון, ההוגנות מבוססת-הצורך היא עקרון החלוקה השליט, והוא מיושם דווקא סביב משאבים רכים: תשומת לב, זמן ומרחב.</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ממצא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עקרון הצורך שבבסיס הצדק החלוקתי.</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שמירה על הקבוצה, מערכות שקופות של תורים וכללים היוצרות תחושת הוגנות, איזון המרחב הקבוצתי בין הדומיננטי לשקט, ומאמץ מתמיד למניעת בושה ולצמצום פערים חברתיים-כלכליים. מכאן עולה המסקנה כי הצדק בגן אינו מושג מופשט, אלא נבנה מאינספור החלטות זעירות ומעשיות.</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הממצאים מלמדים כי הבסיס הערכי קיים אצל כלל הגננות, אולם השפה והכלים המקצועיים לעסוק בו באופן מודע ומכוון אינם תמיד זמינים להן.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גננות ובהשתלמויות התייחסות מפורשת לסוגיית הצדק החלוקתי בגן, ובכלל זה להבחנה בין שווה להוגן, לחלוקת המשאבים הרכים, ולמאבק בעוול הסמוי של הילד השקט. שנית, ראוי לפתח כלים מעשיים שיסייעו לגננות להפוך את העשייה האינטואיטיבית לעשייה מודעת, מתועדת ומכוונת.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כבר בשנות החיים הראשונות.</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ולהקשר. כן מוצע לשלב בין ראיונות לבין תצפיות בשדה, כדי לבחון את מידת ההלימה בין התפיסות המוצהרות של הגננות לבין הפרקטיקה בפועל. מחקר עתידי יוכל גם לבחון את סוגיית הצדק בגן דרך נקודת מבטם של הילדים עצמם ושל ההורים, ובכך להשלים את התמונה הרב-ממדית של ההתנהלות הצודקת בגן.</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8. רשימת המקורות</w:t>
      </w:r>
    </w:p>
    <w:p>
      <w:pPr>
        <w:bidi w:val="1"/>
        <w:spacing w:line="360" w:lineRule="auto" w:before="0" w:after="80"/>
        <w:jc w:val="both"/>
      </w:pPr>
      <w:r>
        <w:rPr>
          <w:rFonts w:ascii="David" w:hAnsi="David" w:cs="David"/>
          <w:b/>
          <w:color w:val="000000"/>
          <w:sz w:val="24"/>
          <w:szCs w:val="24"/>
          <w:rtl w:val="1"/>
        </w:rPr>
        <w:t>מקורות בעברית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jc w:val="both"/>
      </w:pPr>
      <w:r>
        <w:rPr>
          <w:rFonts w:ascii="David" w:hAnsi="David" w:cs="David"/>
          <w:color w:val="000000"/>
          <w:szCs w:val="24"/>
          <w:rtl w:val="1"/>
        </w:rPr>
        <w:t>אופנהיימר, א' (2006). תפקידו של המורה בכיתה הטרוגנית על פי גישתו החינוכית של קרל פרנקנשטיין. מפגש לעבודה חינוכית-סוציאלית, 24, 107–120.</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זלמנסון לוי, ג' ומרגלית, ת' (2010). חינוך לצדק חברתי וחינוך לשלום בשיעורי מתמטיקה. עיונים בחינוך, 3, 97–125.</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before="200" w:after="80"/>
        <w:jc w:val="both"/>
      </w:pPr>
      <w:r>
        <w:rPr>
          <w:rFonts w:ascii="David" w:hAnsi="David" w:cs="David"/>
          <w:b/>
          <w:color w:val="000000"/>
          <w:sz w:val="24"/>
          <w:szCs w:val="24"/>
          <w:rtl w:val="1"/>
        </w:rPr>
        <w:t>מקורות באנגלית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9.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