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השאלה אינה איזה חוק הופר אלא מי נפגע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w:t>
      </w:r>
    </w:p>
    <w:p>
      <w:pPr>
        <w:spacing w:lineRule="auto" w:line="360" w:after="120" w:before="0"/>
        <w:jc w:val="both"/>
        <w:bidi w:val="1"/>
      </w:pPr>
      <w:r>
        <w:rPr>
          <w:rFonts w:ascii="David" w:hAnsi="David" w:cs="David" w:eastAsia="David"/>
          <w:b w:val="0"/>
          <w:i w:val="0"/>
          <w:sz w:val="24"/>
          <w:szCs w:val="24"/>
        </w:rPr>
        <w:t>בישראל פועלות בשירות המבחן לנוער שתי תוכניות ממשלתיות: קד"ם (קבוצות דיון משפחתיות) והנ"ף (היוועדות נפגע-פוגע). לצידן פועלת תוכנית מקבילה בשירות המבחן למבוגרים. ההליך אינו תחליף להליך הפלילי אלא משולב בו, ותוצאותיו נשקלות בהחלטה על סגירת התיק או בגזר הדין (קלר-חלמיש ופלג-קוריאט, 2020). בפגיעות מיניות אין עדיין תוכנית ממלכתית. תוכנית "בצדק", הפועלת מאז 2011 ללא תמיכה ממסדית, קיבלה יותר מ-400 פניות, כ-65% מהן מנפגעות ומנפגעים, וכ-30% מהפניות הבשילו לתהליך מלא (הדר וגל, 2023א: 361). מחקר שראיין עשרים נפגעות ונפגעי אלימות מינית שהשתתפו במפגשים כאלה, לצד חמישה תומכים וחמש מנחות, מצא שינויים מיטיבים בעיקר ביחס הנפגעות לעצמן ולפוגע: ירידה בחרדה ובאשמה, תחושת העצמה ומסוגלות והשלמה עם הפגיעה. השינויים ביחס לקהילה היו מצומצמים, ואצל חלק מהנפגעות עלו כעס ואכזבה כלפי משפחה וחברים שלא תמכו (הדר וגל, 2023א). במאמר נוסף מאותו מחקר מתוארת "סליחה דיאלוגית": ירידה ברגשות השליליים כלפי הפוגע שצמחה מתוך השיח במפגש, ולא כדרישה שהוצבה מבחוץ (הדר וגל, 2023ב).</w:t>
      </w:r>
    </w:p>
    <w:p>
      <w:pPr>
        <w:spacing w:lineRule="auto" w:line="360" w:after="120" w:before="0"/>
        <w:jc w:val="both"/>
        <w:bidi w:val="1"/>
      </w:pPr>
      <w:r>
        <w:rPr>
          <w:rFonts w:ascii="David" w:hAnsi="David" w:cs="David" w:eastAsia="David"/>
          <w:b w:val="0"/>
          <w:i w:val="0"/>
          <w:sz w:val="24"/>
          <w:szCs w:val="24"/>
        </w:rPr>
        <w:t>הראיות הבינלאומיות זהירות יותר. מטא-אנליזה של 79 הערכות של תוכניות לנוער מצאה ירידה קטנה עד בינונית בעבריינות חוזרת, לצד עלייה ניכרת בתחושת ההגינות ובשביעות הרצון של הנפגעים ושל הנערים (Kimbrell et al., 2023). מטא-אנליזה שכללה גם מבוגרים מצאה ירידה קטנה בעבריינות חוזרת כללית, ללא השפעה על עבריינות אלימה חוזרת (Fulham et al., 2025).</w:t>
      </w:r>
    </w:p>
    <w:p>
      <w:pPr>
        <w:spacing w:lineRule="auto" w:line="360" w:after="120" w:before="0"/>
        <w:jc w:val="both"/>
        <w:bidi w:val="1"/>
      </w:pPr>
      <w:r>
        <w:rPr>
          <w:rFonts w:ascii="David" w:hAnsi="David" w:cs="David" w:eastAsia="David"/>
          <w:b w:val="0"/>
          <w:i w:val="0"/>
          <w:sz w:val="24"/>
          <w:szCs w:val="24"/>
        </w:rPr>
        <w:t>ההיבט הרב-תרבותי בולט בישראל במיוחד, והוא ניכר בעמדות הציבור. במחקר ישראלי עדכני תפסו משתתפים יהודים פגיעה מינית בתוך המשפחה כחמורה יותר מפגיעה מחוץ לה ותמכו פחות בצדק מאחה במקרים אלה, ואילו משתתפים ערבים לא הבחינו בין שני סוגי הפגיעה, ותמיכתם בהליך הושפעה פחות מחומרת העבירה (Peleg-Koriat, 2025).</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היא יחסיות הסטייה: אין מעשה סוטה כשלעצמו, אלא מעשה שהחברה הגיבה עליו והגדירה אותו ככזה. התגובה החברתית לפשיעה, ובעיקר זו הפורמלית של משטרה ובית משפט, מדביקה לאדם תווית של "עבריין" המעצבת את זהותו ואת יחסם של אחרים אליו. כאן עוברת ההבחנה בין עבריינות ראשונית, מעשה ראשון שאפשר להסבירו בגורמים מזדמנים, לבין עבריינות משנית, שבה הסטייה נעשית לאורח חיים בעקבות התיוג (Lemert, 1967, כפי שמצוטט אצל Bernburg, 2019). סקירת המחקר העדכני מזהה שלושה תהליכים שדרכם תיוג פלילי רשמי מגדיל את הסיכוי לעבריינות בהמשך: גיבוש תפיסה עצמית סוטה, הדרה חברתית שבה מורים, מעסיקים ובני קהילה דוחים את המתויג והוא עצמו נסוג מהם מחשש לדחייה, והשתקעות בקבוצות עברייניות שבהן התווית אינה מכשול אלא יתרון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טען שבחברות קהילתניות הגינוי המוסרי, הבִּיוּש, מלווה במאמצים להשיב את הפוגע לקהילה דרך סליחה, שמירה על הקשרים וטקסים המסמנים שהוא אינו עוד סוטה, ואילו בחברות אינדיבידואליסטיות הביוש מסתיים בסטיגמה, ולכן התיוג הפורמלי בהן קרימינוגני יותר (Braithwaite, 1989, כפי שמצוטט אצל Bernburg, 2019). המפגש המאחה הוא הגלמה מוסדית של הביוש המשלב: הפוגע עומד מול הנזק בנוכחות אנשים שחשובים לו, מקבל אחריות, ומתקבל בחזרה לקהילה בתום ההליך. בקד"ם המשפחה המורחבת היא הקהילה המביישת והמשלבת גם יחד, ותוצאה מוצלחת מאפשרת סגירת תיק ללא רישום פלילי, כלומר עצירה של המעבר מעבריינות ראשונית למשנית. הממצאים המתונים של המטא-אנליזה מתיישבים עם ההסבר: ההשפעה על עבריינות חוזרת קיימת, אך היא תלויה באיכות המפגש ובמידה שבה הקהילה אכן מקבלת את הנער בחזרה (Kimbrell et al., 2023).</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טוען שבתרבות המערבית התווית "קורבן" נושאת קונוטציה של סבל פסיבי וחוסר אונים, ומחקרים פסיכולוגיים-חברתיים עדכניים מאששים כי מי שמתויג כקורבן נתפס כחלש ותלותי (Van Dijk, 2020). ההליך הפלילי מקבע את התווית, שכן הנפגע הוא בו עד ולא צד. צדק מאחה מציע מסלול הפוך: הנפגע בוחר, מדבר בקולו ומעצב את הסכם התיקון, ונע מתווית של קורבן לעמדה של שורד פעיל.</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הגישה השנייה בוחנת את הנושא מכיוון מנוגד. הוויקטימולוגיה הפמיניסטית מדגישה את האופי הממוגדר של הקורבנות, את הקשר בין קורבנות נשים לבין עבריינותן, ואת תפקידה של האלימות כלפי נשים, ואיום האלימות, כאמצעי של פיקוח חברתי בלתי פורמלי (Clay-Warner &amp; Edgemon, 2020). מנקודת מבט זו ההליך הפלילי בפגיעות מיניות מייצר קורבנות משנית: חקירה נגדית, מיתוסים של אונס ואשמת הקורבן. אך גם צדק מאחה חשוד בעיניה, משום שהוא עלול לשחזר במפגש את פערי הכוח שבין הפוגע לנפגעת, להפעיל עליה לחץ לסלוח ולהפריט פגיעה שהיא בעיה ציבורית (קלר-חלמיש ופלג-קוריאט, 2020).</w:t>
      </w:r>
    </w:p>
    <w:p>
      <w:pPr>
        <w:spacing w:lineRule="auto" w:line="360" w:after="120" w:before="0"/>
        <w:jc w:val="both"/>
        <w:bidi w:val="1"/>
      </w:pPr>
      <w:r>
        <w:rPr>
          <w:rFonts w:ascii="David" w:hAnsi="David" w:cs="David" w:eastAsia="David"/>
          <w:b w:val="0"/>
          <w:i w:val="0"/>
          <w:sz w:val="24"/>
          <w:szCs w:val="24"/>
        </w:rPr>
        <w:t>מחאת #MeToo שינתה את המאזן. קלר-חלמיש ופלג-קוריאט (2020) טוענות כי המחאה חשפה את היקף הפגיעות ואת כישלונו של ההליך הפלילי לתת מענה לרובן, ולכן יש להנגיש צדק מאחה לפגיעות מיניות בתנאים מגוננים: וולונטריות מלאה לכל הצדדים, הכנה מעמיקה של המשתתפים, מנחים בעלי מומחיות בתחום, וקריטריונים ברורים לבחינת התאמת המקרה. ממצאי הראיונות עם הנפגעות תומכים בעמדה זו. הן תיארו את ההליך כחוויה של החזרת שליטה ואוטונומיה, שכן הן מובילות אותו ומחליטות על כל פרט בו, ואת הסליחה, כשהופיעה, כתוצר של הדיאלוג ולא כתנאי (הדר וגל, 2023א, 2023ב). התגובה החברתית לנפגע עצמו ממוגדרת אף היא. ניתוח של 1,890 תגובות גולשים לחשיפות של נפגעי פגיעה מינית במסגרת #MeToo בישראל מצא שרק 1.1% מהתגובות היו לא תומכות, אך נשים זכו לתמיכה רגשית ורשתית רבה יותר מגברים, ואילו גברים קיבלו יותר תמיכה מעריכה, דפוס המבטא סטריאוטיפים מגדריים כלפי קורבנותם (לוינשטיין-ברקאי, 2020). הביקורת הפמיניסטית על "הקורבן האידיאלי", זו שזוכה להכרה רק אם היא תמימה וחסרת אשמה, מהדהדת גם בממצאים על הבדלים אתניים בתמיכה בצדק מאחה: מי נחשב ראוי להליך מאחה ומי לענישה בלבד תלוי בזהות המעורבים, ולא רק במעשה (Peleg-Koriat, 2025).</w:t>
      </w:r>
    </w:p>
    <w:p>
      <w:pPr>
        <w:spacing w:lineRule="auto" w:line="360" w:after="120" w:before="0"/>
        <w:jc w:val="both"/>
        <w:bidi w:val="1"/>
      </w:pPr>
      <w:r>
        <w:rPr>
          <w:rFonts w:ascii="David" w:hAnsi="David" w:cs="David" w:eastAsia="David"/>
          <w:b w:val="0"/>
          <w:i w:val="0"/>
          <w:sz w:val="24"/>
          <w:szCs w:val="24"/>
        </w:rPr>
        <w:t>ממצא זה מתחדד בשני ניסויים שנערכו בישראל, עם 446 ו-560 משתתפים: נמצאה הטיה אתנית מובהקת בתמיכה בצדק מאחה לפי זהותם של הפוגע, הנפגע והמשיב, חזקה יותר בהקשרים פוליטיים טעונים מאשר בעבירות רגילות, ומתווכת דרך האמונה ביכולתו של הפוגע להשתנות (Peleg-Koriat et al., 2025). מנקודת מבטה של תיאוריית התיוג זו הדגמה ישירה של יחסיות הסטייה: אותו מעשה נתפס כניתן לתיקון או לא לפי מי שביצע אותו, וההחלטה מי יופנה להליך מאחה ומי לענישה היא עצמה תגובה חברתית שמייצרת עבריינים.</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ובמניעת קיבוע זהותו העבריינית, והוויקטימולוגיה הפמיניסטית בנפגעת ובפערי הכוח. הצלחת ההליך תלויה ביכולת להחזיק את שתיהן: שילוב מחדש של הפוגע,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מודדת אם ההליך מפחית עבריינות חוזרת ומיטיב עם הנפגע (Kimbrell et al., 2023). היהדות נורמטיבית: היא אינה שואלת אם המפגש עובד אלא קובעת שהוא חובה. ההבדל השני, החריף יותר, נוגע לנפגע. הוויקטימולוגיה הפמיניסטית, וכמוה החשיבה הטיפולית העכשווית, עומדות על כך שסליחה אינה יכולה להיות חובה ואינה יכולה לבוא מבחוץ, אלא רק בקצב של הנפגע (הדר וגל, 2023ב; Clay-Warner &amp; Edgemon, 2020).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(2023א). "הרגשתי איך תופרים לי את הלב": החוויה הרגשית של נפגעות אלימות מינית בעקבות תהליכי צדק מאחה. חברה ורווחה, מג(3), 355-375. https://www.gov.il/BlobFolder/reports/molsa-43-3-nataly-h/he/SocialAndWelfareMagazine_Magazine-43-3_43-3-NATALY-H.pdf</w:t>
      </w:r>
    </w:p>
    <w:p>
      <w:pPr>
        <w:spacing w:lineRule="auto" w:line="360" w:after="160" w:before="0"/>
        <w:ind w:left="709" w:hanging="709"/>
        <w:jc w:val="right"/>
        <w:bidi w:val="1"/>
      </w:pPr>
      <w:r>
        <w:rPr>
          <w:rFonts w:ascii="David" w:hAnsi="David" w:cs="David" w:eastAsia="David"/>
          <w:b w:val="0"/>
          <w:i w:val="0"/>
          <w:sz w:val="24"/>
          <w:szCs w:val="24"/>
        </w:rPr>
        <w:t>הדר, נ' וגל, ט' (2023ב). לסלוח או לא לסלוח: סליחה דיאלוגית על פגיעות מיניות בתהליכי צדק מאחה. קרימינולוגיה ישראלית, יא, 87-116. https://cris.haifa.ac.il/en/publications/לסלוח-או-לא-לסלוח-סליחה-דיאלוגית-על-פגיעות-מיניות-בתהליכי-צדק-מאח</w:t>
      </w:r>
    </w:p>
    <w:p>
      <w:pPr>
        <w:spacing w:lineRule="auto" w:line="360" w:after="160" w:before="0"/>
        <w:ind w:left="709" w:hanging="709"/>
        <w:jc w:val="right"/>
        <w:bidi w:val="1"/>
      </w:pPr>
      <w:r>
        <w:rPr>
          <w:rFonts w:ascii="David" w:hAnsi="David" w:cs="David" w:eastAsia="David"/>
          <w:b w:val="0"/>
          <w:i w:val="0"/>
          <w:sz w:val="24"/>
          <w:szCs w:val="24"/>
        </w:rPr>
        <w:t>לוינשטיין-ברקאי, ה' (2020). המגדר כן קובע? תמיכה חברתית בקורבנות-גברים של פגיעה מינית לעומת תמיכה בקורבנות-נשים ברשתות חברתיות בישראל. מגמות, נה(2), 167-190. https://info2011.szold.org.il/PDF-Articles/megamot/113341.pdf</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והנגשה של תהליכי צדק מאחה במקרים של פגיעה מינית. קרימינולוגיה ישראלית, ט, 33-53.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https://www.researchgate.net/publication/336312509_LABELING_THEORY</w:t>
      </w:r>
    </w:p>
    <w:p>
      <w:pPr>
        <w:spacing w:lineRule="auto" w:line="360" w:after="160" w:before="0"/>
        <w:ind w:left="709" w:hanging="709"/>
        <w:jc w:val="left"/>
        <w:bidi w:val="0"/>
      </w:pPr>
      <w:r>
        <w:rPr>
          <w:rFonts w:ascii="David" w:hAnsi="David" w:cs="David" w:eastAsia="David"/>
          <w:b w:val="0"/>
          <w:i w:val="0"/>
          <w:sz w:val="24"/>
          <w:szCs w:val="24"/>
        </w:rPr>
        <w:t>Clay-Warner, J., &amp; Edgemon, T. G. (2020). Feminist approaches to victimology. In S. Walklate, K. Fitz-Gibbon, J. Maher, &amp; J. McCulloch (Eds.), The Emerald handbook of feminism, criminology and social change (pp. 35-50). Emerald Publishing. https://research.birmingham.ac.uk/en/publications/feminist-approaches-to-victimology/</w:t>
      </w:r>
    </w:p>
    <w:p>
      <w:pPr>
        <w:spacing w:lineRule="auto" w:line="360" w:after="160" w:before="0"/>
        <w:ind w:left="709" w:hanging="709"/>
        <w:jc w:val="left"/>
        <w:bidi w:val="0"/>
      </w:pPr>
      <w:r>
        <w:rPr>
          <w:rFonts w:ascii="David" w:hAnsi="David" w:cs="David" w:eastAsia="David"/>
          <w:b w:val="0"/>
          <w:i w:val="0"/>
          <w:sz w:val="24"/>
          <w:szCs w:val="24"/>
        </w:rPr>
        <w:t>Fulham, L., Blais, J., Rugge, T., &amp; Schultheis, E. A. (2025). The effectiveness of restorative justice programs: A meta-analysis of recidivism and other relevant outcomes. Criminology &amp; Criminal Justice, 25(5), 1486-1512. https://doi.org/10.1177/17488958231215228</w:t>
      </w:r>
    </w:p>
    <w:p>
      <w:pPr>
        <w:spacing w:lineRule="auto" w:line="360" w:after="160" w:before="0"/>
        <w:ind w:left="709" w:hanging="709"/>
        <w:jc w:val="left"/>
        <w:bidi w:val="0"/>
      </w:pPr>
      <w:r>
        <w:rPr>
          <w:rFonts w:ascii="David" w:hAnsi="David" w:cs="David" w:eastAsia="David"/>
          <w:b w:val="0"/>
          <w:i w:val="0"/>
          <w:sz w:val="24"/>
          <w:szCs w:val="24"/>
        </w:rPr>
        <w:t>Kimbrell, C. S., Wilson, D. B., &amp; Olaghere, A. (2023). Restorative justice programs and practices in juvenile justice: An updated systematic review and meta-analysis for effectiveness. Criminology &amp; Public Policy, 22(1), 161-195. https://doi.org/10.1111/1745-9133.12613</w:t>
      </w:r>
    </w:p>
    <w:p>
      <w:pPr>
        <w:spacing w:lineRule="auto" w:line="360" w:after="160" w:before="0"/>
        <w:ind w:left="709" w:hanging="709"/>
        <w:jc w:val="left"/>
        <w:bidi w:val="0"/>
      </w:pPr>
      <w:r>
        <w:rPr>
          <w:rFonts w:ascii="David" w:hAnsi="David" w:cs="David" w:eastAsia="David"/>
          <w:b w:val="0"/>
          <w:i w:val="0"/>
          <w:sz w:val="24"/>
          <w:szCs w:val="24"/>
        </w:rPr>
        <w:t>Peleg-Koriat, I. (2025). Ethnic differences in support for restorative justice in sexual abuse cases: The role of offense severity and malleability beliefs. Violence Against Women. Advance online publication. https://pmc.ncbi.nlm.nih.gov/articles/PMC13031375/</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https://www.researchgate.net/publication/342546073_Victim_Labeling_Theory_A_Reappraisal</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