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(Herzl, 1899, pp. 1-8).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(אבינרי, 2007, עמ' 84-108; Kornberg, 1993, pp. 183-202).</w:t>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(אטינגר, 1978, עמ' 1-28; Engel, 2009, pp. 30-53).</w:t>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w:t>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(אבינרי, 2007, עמ' 15-33; Bein, 1941, pp. 1-40).</w:t>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(Kornberg, 1980, pp. 226-252; Kornberg, 1993, pp. 1-41).</w:t>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(אבינרי, 2007, עמ' 34-56; Elon, 1975, pp. 55-66).</w:t>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(אבינרי, 2007, עמ' 42-56; Beller, 1991, pp. 9-19).</w:t>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(Elon, 1975, pp. 87-113; Penslar, 2020, pp. 31-48).</w:t>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(Kornberg, 1993, pp. 134-158; Pawel, 1989, pp. 189-240).</w:t>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(כ"ץ, 1979, עמ' 9-17, 245-260; Pulzer, 1988, pp. 47-57).</w:t>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(כ"ץ, 1979, עמ' 227-244).</w:t>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(אטינגר, 1978, עמ' 1-46).</w:t>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(השל, תש"ף, עמ' 5-30; Engel, 2009, pp. 30-53). 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w:t>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(כ"ץ, 1979, עמ' 261-289; Pulzer, 1988, pp. 88-105).</w:t>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וזהו החיבור שהרצל קרא בשנת 1882.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(כ"ץ, 1979, עמ' 290-308; Pulzer, 1988, pp. 49-52, 92-95).</w:t>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(Pulzer, 1988, pp. 106-130).</w:t>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ההתארגנות היהודית הזאת, שראתה בהגנה על האמנציפציה ולא ביציאה ממנה את התשובה, היא הרקע שעל פניו יבלוט הפתרון של הרצל (כ"ץ, 1979, עמ' 309-320; Pulzer, 1988, pp. 121-130).</w:t>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(וולקוב, 2002, עמ' 71-98; Volkov, 1978, pp. 25-46).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w:t>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(מירון, 2022, עמ' 54-56; Pulzer, 1988, pp. 148-155).</w:t>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(Wistrich, 1989, pp. 3-61).</w:t>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(מירון, 2022, עמ' 56-59; Wistrich, 1989, pp. 205-256).</w:t>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(מירון, 2022, עמ' 58-59; Schorske, 1980, pp. 116-180).</w:t>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(מירון, 2022, עמ' 60-62; Hyman, 1998, pp. 89-95).</w:t>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(Hyman, 1998, pp. 95-99; Wilson, 1982, pp. 3-35).</w:t>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(דרימון, 1886, עמ' 443-444; Hyman, 1998, pp. 96-98).</w:t>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(Wilson, 1982, pp. 36-70; Cahm, 1996, pp. 1-24).</w:t>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(Wilson, 1982, pp. 106-124, 171-200; Birnbaum, 2003, pp. 1-22).</w:t>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(Hyman, 1998, pp. 104-106; Marrus, 1971, pp. 196-242).</w:t>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(מירון, 2022, עמ' 63; Hyman, 1998, pp. 98-99, 111-114).</w:t>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(Hyman, 1998, pp. 111-114; Pulzer, 1988, pp. 47-57).</w:t>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w:t>
      </w:r>
    </w:p>
    <w:p>
      <w:pPr>
        <w:pStyle w:val="Heading1"/>
        <w:pageBreakBefore/>
        <w:bidi/>
        <w:spacing w:after="160" w:before="360" w:line="360"/>
        <w:jc w:val="right"/>
      </w:pPr>
      <w:r>
        <w:rPr>
          <w:rFonts w:ascii="David" w:cs="David" w:eastAsia="David" w:hAnsi="David"/>
          <w:b/>
          <w:bCs/>
          <w:sz w:val="32"/>
          <w:szCs w:val="32"/>
          <w:rtl/>
        </w:rPr>
        <w:t xml:space="preserve">פרק שני: הגורמים למהפך שאינם קשורים לפרשת דרייפוס</w:t>
      </w:r>
    </w:p>
    <w:p>
      <w:pPr>
        <w:bidi/>
        <w:spacing w:after="120" w:line="360" w:lineRule="auto"/>
        <w:jc w:val="right"/>
      </w:pPr>
      <w:r>
        <w:rPr>
          <w:rFonts w:ascii="David" w:cs="David" w:eastAsia="David" w:hAnsi="David"/>
          <w:sz w:val="24"/>
          <w:szCs w:val="24"/>
          <w:rtl/>
        </w:rPr>
        <w:t xml:space="preserve">פרק זה מפרט את הגורמים שהביאו את הרצל אל הרעיון הציוני ושאינם קשורים לפרשת דרייפוס. הדיון נפתח בעדותו של הרצל עצמו, ברשימת הגורמים שערך ביומנו ביוני 1895, וממשיך לפי סדרה: המפגשים המוקדמים עם האנטישמיות בווינה, בית הספר הפוליטי של פריז ותעמולת דרימון, המשבר האישי והמחזה "הגטו החדש", ועליית לואגר לשלטון בווינה. הפרק מסתיים בסקירת המחקר שהעמיד גורמים אלה במרכז.</w:t>
      </w:r>
    </w:p>
    <w:p>
      <w:pPr>
        <w:pStyle w:val="Heading2"/>
        <w:bidi/>
        <w:spacing w:after="160" w:before="240" w:line="360"/>
        <w:jc w:val="right"/>
      </w:pPr>
      <w:r>
        <w:rPr>
          <w:rFonts w:ascii="David" w:cs="David" w:eastAsia="David" w:hAnsi="David"/>
          <w:b/>
          <w:bCs/>
          <w:sz w:val="28"/>
          <w:szCs w:val="28"/>
          <w:rtl/>
        </w:rPr>
        <w:t xml:space="preserve">1. עדות הרצל: רשימת הגורמים ביומן (יוני 1895)</w:t>
      </w:r>
    </w:p>
    <w:p>
      <w:pPr>
        <w:bidi/>
        <w:spacing w:after="120" w:line="360" w:lineRule="auto"/>
        <w:jc w:val="right"/>
      </w:pPr>
      <w:r>
        <w:rPr>
          <w:rFonts w:ascii="David" w:cs="David" w:eastAsia="David" w:hAnsi="David"/>
          <w:sz w:val="24"/>
          <w:szCs w:val="24"/>
          <w:rtl/>
        </w:rPr>
        <w:t xml:space="preserve">באמצע יוני 1895 החל הרצל לנהל יומן שהוקדש כולו למה שכינה "עניין היהודים". הרשימות הראשונות, שנכתבו בפריז בקדחתנות של ימים אחדים, הן המסמך החשוב ביותר להבנת התגבשות רעיונו, מפני שהרצל מנסה בהן להסביר לעצמו כיצד הגיע אליו. הוא פותח בהצהרה שכבר "זמן מה" הוא עוסק ב"יצירה בעלת גדולה אינסופית", ושואל מתי בעצם התחיל לעסוק בשאלת היהודים. תשובתו היא רשימה כרונולוגית: ספרו של דירינג, שקרא בשנת 1882; פרישתו מ"אלביה"; מאמריו על האנטישמיות הצרפתית; רעיון הטבילה ההמונית; המכתב לברון לייטנברגר; ו"הגטו החדש". פרשת דרייפוס אינה מוזכרת ברשימה (הרצל, 1895/1997, כרך א, רשימות הפתיחה; Herzl, 1960, vol. 1, pp. 3-12).</w:t>
      </w:r>
    </w:p>
    <w:p>
      <w:pPr>
        <w:bidi/>
        <w:spacing w:after="120" w:line="360" w:lineRule="auto"/>
        <w:jc w:val="right"/>
      </w:pPr>
      <w:r>
        <w:rPr>
          <w:rFonts w:ascii="David" w:cs="David" w:eastAsia="David" w:hAnsi="David"/>
          <w:sz w:val="24"/>
          <w:szCs w:val="24"/>
          <w:rtl/>
        </w:rPr>
        <w:t xml:space="preserve">שלמה אבינרי ראה ביומן "רומן חניכה" שהרצל כתב על עצמו, ובחר לקרוא אותו לא רק כמקור לעובדות אלא כעדות לאופן שבו הבין הרצל את התפתחותו בזמן אמת. קריאה זו מלמדת שביוני 1895 היה הרצל משוכנע שהרעיון צמח מתוך הצטברות ארוכה של התנסויות וינאיות ופריזאיות, ולא מתוך אירוע אחד. הסעיפים הבאים בוחנים את התנסויות אלה לפי סדרן (אבינרי, 2007, עמ' 93-108; Avineri, 1999, pp. 1-46).</w:t>
      </w:r>
    </w:p>
    <w:p>
      <w:pPr>
        <w:pStyle w:val="Heading2"/>
        <w:bidi/>
        <w:spacing w:after="160" w:before="240" w:line="360"/>
        <w:jc w:val="right"/>
      </w:pPr>
      <w:r>
        <w:rPr>
          <w:rFonts w:ascii="David" w:cs="David" w:eastAsia="David" w:hAnsi="David"/>
          <w:b/>
          <w:bCs/>
          <w:sz w:val="28"/>
          <w:szCs w:val="28"/>
          <w:rtl/>
        </w:rPr>
        <w:t xml:space="preserve">2. המפגשים המוקדמים: דירינג ואגודת "אלביה"</w:t>
      </w:r>
    </w:p>
    <w:p>
      <w:pPr>
        <w:bidi/>
        <w:spacing w:after="120" w:line="360" w:lineRule="auto"/>
        <w:jc w:val="right"/>
      </w:pPr>
      <w:r>
        <w:rPr>
          <w:rFonts w:ascii="David" w:cs="David" w:eastAsia="David" w:hAnsi="David"/>
          <w:sz w:val="24"/>
          <w:szCs w:val="24"/>
          <w:rtl/>
        </w:rPr>
        <w:t xml:space="preserve">הרצל קרא את ספרו של דירינג בפברואר 1882, בהיותו סטודנט בן עשרים ושתיים, ורשם ביומנו הערות ארוכות. הוא הכיר בכישרונו של דירינג אך הזדעזע מכך שאדם משכיל מסוגל להטיף לשנאה גזעית: אם דירינג המלומד כותב כך, שאל, מה יכתבו ההמונים הבורים? הוא דחה את פתרונו של דירינג, אך קיבל חלק מביקורתו על "פגמי" היהודים, וטען שהאמנציפציה תרפא אותם בתוך דורות אחדים. עמדה זו, הכרה בקיום האנטישמיות יחד עם אמונה שההתבוללות היא התשובה לה, אפיינה את הרצל במשך יותר מעשור (אבינרי, 2007, עמ' 34-41; Kornberg, 1993, pp. 42-58).</w:t>
      </w:r>
    </w:p>
    <w:p>
      <w:pPr>
        <w:bidi/>
        <w:spacing w:after="120" w:line="360" w:lineRule="auto"/>
        <w:jc w:val="right"/>
      </w:pPr>
      <w:r>
        <w:rPr>
          <w:rFonts w:ascii="David" w:cs="David" w:eastAsia="David" w:hAnsi="David"/>
          <w:sz w:val="24"/>
          <w:szCs w:val="24"/>
          <w:rtl/>
        </w:rPr>
        <w:t xml:space="preserve">התנסות ממשית יותר באה בשנת 1883. הרצל היה חבר באגודת הסטודנטים "אלביה", אחת מאגודות הדו־קרב הלאומיות־גרמניות של האוניברסיטה. במרץ 1883, בעצרת זיכרון לריכרד ואגנר, נשא הסטודנט הרמן באר נאום אנטישמי, ו"אלביה" התייצבה מאחוריו. הרצל הודיע במכתב על פרישתו, והאגודה השיבה שהוא מסולק ממנה בין כה וכה. כעבור שנתיים החליטו האגודות הלאומיות בווינה שלא לקבל יהודים כלל, ובשנת 1896 קבעה ועידתן שאין יהודי ראוי לסיפוק בדו־קרב מפני ש"היהודי חסר כבוד". הרצל למד על בשרו, כבר בשנות העשרים לחייו, שהאמנציפציה בווינה נעצרת בשערי החברה הגרמנית־לאומית. הנושא של כבוד ושל דו־קרב ילווה אותו מכאן ואילך, ויחזור בפתרונות הפנטסטיים של 1893 ובמחזה של 1894 (Bein, 1941, pp. 41-54; Schorske, 1980, pp. 150-153).</w:t>
      </w:r>
    </w:p>
    <w:p>
      <w:pPr>
        <w:pStyle w:val="Heading2"/>
        <w:bidi/>
        <w:spacing w:after="160" w:before="240" w:line="360"/>
        <w:jc w:val="right"/>
      </w:pPr>
      <w:r>
        <w:rPr>
          <w:rFonts w:ascii="David" w:cs="David" w:eastAsia="David" w:hAnsi="David"/>
          <w:b/>
          <w:bCs/>
          <w:sz w:val="28"/>
          <w:szCs w:val="28"/>
          <w:rtl/>
        </w:rPr>
        <w:t xml:space="preserve">3. בית הספר של פריז: פרלמנט, המונים ודרימון</w:t>
      </w:r>
    </w:p>
    <w:p>
      <w:pPr>
        <w:bidi/>
        <w:spacing w:after="120" w:line="360" w:lineRule="auto"/>
        <w:jc w:val="right"/>
      </w:pPr>
      <w:r>
        <w:rPr>
          <w:rFonts w:ascii="David" w:cs="David" w:eastAsia="David" w:hAnsi="David"/>
          <w:sz w:val="24"/>
          <w:szCs w:val="24"/>
          <w:rtl/>
        </w:rPr>
        <w:t xml:space="preserve">ארבע שנות הכתבות מפריז לימדו את הרצל שני לקחים שאינם יהודיים במקורם, ושניהם יופיעו ב"מדינת היהודים". הלקח הראשון נגע לפרלמנטריזם. הרצל הגיע לפריז כליברל שהאמין בפרלמנט כמוסד הרציונלי של המדינה, וראה בבית הנבחרים הצרפתי מוסד של דמגוגיה ואינטריגות. שערוריית פנמה, שבה התגלה כי מאות צירים קיבלו שוחד מחברת התעלה, גמרה את אמונו בפוליטיקה הפרלמנטרית. הלקח השני נגע להמונים: משפטי האנרכיסטים והתהלוכות ברחובות לימדו אותו שהפוליטיקה המודרנית מתנהלת ברחוב ובעיתון, ושמי שרוצה להניע בני אדם צריך לפנות אל דמיונם באמצעות סמלים ודגלים. דרק פנסלר הראה כיצד עיצבו תובנות אלה את תפישת המנהיגות של הרצל ואת האופי התיאטרלי של הקונגרסים הציוניים (Elon, 1975, pp. 100-113; Penslar, 2020, pp. 40-48).</w:t>
      </w:r>
    </w:p>
    <w:p>
      <w:pPr>
        <w:bidi/>
        <w:spacing w:after="120" w:line="360" w:lineRule="auto"/>
        <w:jc w:val="right"/>
      </w:pPr>
      <w:r>
        <w:rPr>
          <w:rFonts w:ascii="David" w:cs="David" w:eastAsia="David" w:hAnsi="David"/>
          <w:sz w:val="24"/>
          <w:szCs w:val="24"/>
          <w:rtl/>
        </w:rPr>
        <w:t xml:space="preserve">תגובתו הראשונה של הרצל לאנטישמיות הצרפתית לא הייתה ציונית. במאמרו משנת 1892 ניתח את התופעה בקור רוח, הביע הבנה למניעיה החברתיים, השנאה ל"הון היהודי" כהסחה של מאבק המעמדות, וסיים באמונה שהיא תיעלם עם התקדמות החברה. הפתרונות שהעלה בשנים 1892-1893 היו פתרונות של מתבולל. בסתיו 1893 הגה תוכנית שלפיה יוביל את יהודי אוסטריה בתהלוכה לקתדרלת סטפן הקדוש בווינה, שם יטבלו לנצרות לקול צלצול הפעמונים, בעוד הוא ובני דורו יישארו יהודים כ"דור המעבר האחרון". במכתב לברון פרידריך לייטנברגר, מייסד אגודה להגנה מפני האנטישמיות, הציע לקרוא לדו־קרב את מנהיגי האנטישמים באוסטריה: אם ייהרג, ישאיר מכתב שיזעזע את העולם; אם יהרוג את יריבו, יישא בבית המשפט נאום שיזכה את היהודים כולם. הפתרונות הללו מלמדים שהרצל תפש את השאלה היהודית כבעיה חברתית שפתרונה בתוך אירופה, וכבעיה של כבוד (אבינרי, 2007, עמ' 57-70; Kornberg, 1993, pp. 115-133).</w:t>
      </w:r>
    </w:p>
    <w:p>
      <w:pPr>
        <w:bidi/>
        <w:spacing w:after="120" w:line="360" w:lineRule="auto"/>
        <w:jc w:val="right"/>
      </w:pPr>
      <w:r>
        <w:rPr>
          <w:rFonts w:ascii="David" w:cs="David" w:eastAsia="David" w:hAnsi="David"/>
          <w:sz w:val="24"/>
          <w:szCs w:val="24"/>
          <w:rtl/>
        </w:rPr>
        <w:t xml:space="preserve">ברשימה ביומן מ-12 ביוני 1895 כתב הרצל משפט מפתיע: הרבה מחופש התפישה הנוכחי שלו הוא חב לדרימון, "משום שהוא אמן". קורנברג פירש זאת כך: דרימון לימד את הרצל לראות את השאלה היהודית לא כבעיה מוסרית של דעה קדומה שיש לחנך נגדה, אלא כעובדה חברתית־לאומית אובייקטיבית, היהודים כגוף זר בחברה, שיש להסיק ממנה מסקנה מעשית. דרימון הסיק את גירוש היהודים, והרצל את יציאתם מרצון. תפישה זו של האנטישמיות כעובדה שאין להתווכח עמה אלא לנצלה הביאה את הרצל לכתוב ב"מדינת היהודים" שהאנטישמים יהיו "ידידינו הנאמנים ביותר", ואף לרשום ביומנו בסיפוק את הביקורת האוהדת שפרסם "לה ליבר פארול" על חוברתו בינואר 1897 (Herzl, 1960, vol. 1, p. 22; Kornberg, 1993, pp. 159-182; Herzl, 1988, pp. 80-83).</w:t>
      </w:r>
    </w:p>
    <w:p>
      <w:pPr>
        <w:pStyle w:val="Heading2"/>
        <w:bidi/>
        <w:spacing w:after="160" w:before="240" w:line="360"/>
        <w:jc w:val="right"/>
      </w:pPr>
      <w:r>
        <w:rPr>
          <w:rFonts w:ascii="David" w:cs="David" w:eastAsia="David" w:hAnsi="David"/>
          <w:b/>
          <w:bCs/>
          <w:sz w:val="28"/>
          <w:szCs w:val="28"/>
          <w:rtl/>
        </w:rPr>
        <w:t xml:space="preserve">4. המשבר האישי ו"הגטו החדש"</w:t>
      </w:r>
    </w:p>
    <w:p>
      <w:pPr>
        <w:bidi/>
        <w:spacing w:after="120" w:line="360" w:lineRule="auto"/>
        <w:jc w:val="right"/>
      </w:pPr>
      <w:r>
        <w:rPr>
          <w:rFonts w:ascii="David" w:cs="David" w:eastAsia="David" w:hAnsi="David"/>
          <w:sz w:val="24"/>
          <w:szCs w:val="24"/>
          <w:rtl/>
        </w:rPr>
        <w:t xml:space="preserve">הביוגרפים מסכימים שהרצל של השנים 1893-1895 היה אדם במשבר. נישואיו התפרקו בפועל, אשתו ושלושת ילדיו חיו בווינה בעוד הוא בפריז; מחזותיו נדחו או נכשלו; ומכתביו לידידיו מלאים בתלונות על חוסר תוחלת. עמוס אלון קשר את המשבר לגיל: הרצל התקרב לגיל שלושים וחמש בתחושה שהחמיץ את ייעודו, וחיפש משימה שתצדיק את חייו. פנסלר תיאר את המצב כ"פתיחות קיצונית לרשמים", שבה הצטברו במשך שנים תובנות שהמתינו לניסוח (Elon, 1975, pp. 114-130; Penslar, 2020, pp. 49-70).</w:t>
      </w:r>
    </w:p>
    <w:p>
      <w:pPr>
        <w:bidi/>
        <w:spacing w:after="120" w:line="360" w:lineRule="auto"/>
        <w:jc w:val="right"/>
      </w:pPr>
      <w:r>
        <w:rPr>
          <w:rFonts w:ascii="David" w:cs="David" w:eastAsia="David" w:hAnsi="David"/>
          <w:sz w:val="24"/>
          <w:szCs w:val="24"/>
          <w:rtl/>
        </w:rPr>
        <w:t xml:space="preserve">מתוך משבר זה נכתב "הגטו החדש", בפריז, בין 21 באוקטובר ל-8 בנובמבר 1894, בשבועות שבהם נעצר דרייפוס ושבהם התפרסם דבר מעצרו, אך לפני משפטו. המחזה מספר על עורך הדין היהודי יעקב שמואל, אדם ישר ואציל־רוח, שמנסה לחיות כאזרח שווה בחברה הווינאית, נדחה על ידי ידידו הנוצרי, נסחט על ידי גיסו הספסר ומוצא את מותו בדו־קרב עם קצין אנטישמי. במילותיו האחרונות הוא קורא: החוצה מן הגטו! המסר כפול. מצד אחד, האמנציפציה המשפטית לא ביטלה את "הגטו החדש", החומות הבלתי נראות של הדעה הקדומה. מצד שני, המחזה אינו מציע פתרון לאומי, וגיבורו אינו מבקש לצאת מאירופה אלא להיות מקובל בה. יש בו האשמה כלפי היהודים, על התעסקותם בכסף ועל היעדר הכבוד, לא פחות מאשר כלפי הסביבה (אבינרי, 2007, עמ' 71-83; Kornberg, 1993, pp. 134-158).</w:t>
      </w:r>
    </w:p>
    <w:p>
      <w:pPr>
        <w:bidi/>
        <w:spacing w:after="120" w:line="360" w:lineRule="auto"/>
        <w:jc w:val="right"/>
      </w:pPr>
      <w:r>
        <w:rPr>
          <w:rFonts w:ascii="David" w:cs="David" w:eastAsia="David" w:hAnsi="David"/>
          <w:sz w:val="24"/>
          <w:szCs w:val="24"/>
          <w:rtl/>
        </w:rPr>
        <w:t xml:space="preserve">חשיבות המחזה לענייננו כפולה. מבחינה כרונולוגית הוא מוכיח שהשאלה היהודית העסיקה את הרצל באינטנסיביות לפני שדרייפוס נעשה עניין ציבורי, ושהמשבר שהוביל לציונות היה בעיצומו בסתיו 1894. מבחינה תוכנית הוא מוכיח שגם אז, כשלושה חודשים לפני טקס הורדת הדרגות, טרם הגיע הרצל למסקנה הלאומית. הרצל שלח את המחזה לתיאטראות בשם בדוי ונדחה בכל מקום; הוא הוצג לראשונה בינואר 1898 בווינה, כשמחברו כבר היה מנהיג ציוני (Pawel, 1989, pp. 189-202).</w:t>
      </w:r>
    </w:p>
    <w:p>
      <w:pPr>
        <w:pStyle w:val="Heading2"/>
        <w:bidi/>
        <w:spacing w:after="160" w:before="240" w:line="360"/>
        <w:jc w:val="right"/>
      </w:pPr>
      <w:r>
        <w:rPr>
          <w:rFonts w:ascii="David" w:cs="David" w:eastAsia="David" w:hAnsi="David"/>
          <w:b/>
          <w:bCs/>
          <w:sz w:val="28"/>
          <w:szCs w:val="28"/>
          <w:rtl/>
        </w:rPr>
        <w:t xml:space="preserve">5. וינה 1895: עליית לואגר</w:t>
      </w:r>
    </w:p>
    <w:p>
      <w:pPr>
        <w:bidi/>
        <w:spacing w:after="120" w:line="360" w:lineRule="auto"/>
        <w:jc w:val="right"/>
      </w:pPr>
      <w:r>
        <w:rPr>
          <w:rFonts w:ascii="David" w:cs="David" w:eastAsia="David" w:hAnsi="David"/>
          <w:sz w:val="24"/>
          <w:szCs w:val="24"/>
          <w:rtl/>
        </w:rPr>
        <w:t xml:space="preserve">מה מופיע ביומן של יוני 1895 במקום דרייפוס? בראש ובראשונה וינה. הרצל עקב מפריז אחר הבחירות לעיריית וינה באביב 1895, שבהן זכתה מפלגתו של לואגר ברוב, ורשם את חרדתו מפני המתרחש בעירו. בשיחה עם העיתונאי לודוויג שפיידל, שאותה תיעד ביומן, דן במקורות האנטישמיות הווינאית, ובמכתבו לברון הירש כתב על מצבם המחמיר של היהודים באוסטריה. אבינרי הדגיש שניצחון לואגר, עלייתה לשלטון של מפלגה אנטישמית מוצהרת בעיר הבירה של הליברליזם היהודי, הוא האירוע הפוליטי שהעסיק את הרצל בשבועות שבהם נולד הרעיון. הרצל, שנועד לשוב לווינה בקיץ 1895 כעורך המדור הספרותי של עיתונו, ראה בעליית לואגר את קץ העידן שבו יכלו יהודי אוסטריה לראות את עצמם כאזרחים שווים, ואת הראיה לכך שהאמנציפציה ניתנת לביטול בפועל אם לא בחוק (אבינרי, 2007, עמ' 100-108; הרצל, 1895/1997, כרך א, רשימות מיוני 1895).</w:t>
      </w:r>
    </w:p>
    <w:p>
      <w:pPr>
        <w:bidi/>
        <w:spacing w:after="120" w:line="360" w:lineRule="auto"/>
        <w:jc w:val="right"/>
      </w:pPr>
      <w:r>
        <w:rPr>
          <w:rFonts w:ascii="David" w:cs="David" w:eastAsia="David" w:hAnsi="David"/>
          <w:sz w:val="24"/>
          <w:szCs w:val="24"/>
          <w:rtl/>
        </w:rPr>
        <w:t xml:space="preserve">הפגישה עם הברון מוריס דה הירש ב-2 ביוני 1895 מלמדת על מצב הרעיון באותם ימים. הרצל הגיע אליה עם עשרים ושניים עמודים של רשימות, תקף את פעולת ההתיישבות של הירש בארגנטינה כפילנתרופיה המשחיתה את היהודים, וטען שיש להעמיד להם מטרה לאומית, דגל, שתעורר בהם כבוד. הירש קטע אותו, והפגישה הסתיימה בלא כלום. בימים שלאחריה כתב הרצל את "הנאום לרוטשילדים", טיוטה של כשישים עמודים שמעולם לא נישאה, ובה מופיעים כבר עיקרי "מדינת היהודים": האנטישמיות כתופעה בלתי הפיכה, ההגירה המאורגנת, "אגודת היהודים" ו"החברה היהודית". גם במסמכים אלה אין זכר לדרייפוס (Herzl, 1960, vol. 1, pp. 13-130; Pawel, 1989, pp. 218-240).</w:t>
      </w:r>
    </w:p>
    <w:p>
      <w:pPr>
        <w:pStyle w:val="Heading2"/>
        <w:bidi/>
        <w:spacing w:after="160" w:before="240" w:line="360"/>
        <w:jc w:val="right"/>
      </w:pPr>
      <w:r>
        <w:rPr>
          <w:rFonts w:ascii="David" w:cs="David" w:eastAsia="David" w:hAnsi="David"/>
          <w:b/>
          <w:bCs/>
          <w:sz w:val="28"/>
          <w:szCs w:val="28"/>
          <w:rtl/>
        </w:rPr>
        <w:t xml:space="preserve">6. הגורמים במחקר: קורנברג, אבינרי, שורסקה ובלר</w:t>
      </w:r>
    </w:p>
    <w:p>
      <w:pPr>
        <w:bidi/>
        <w:spacing w:after="120" w:line="360" w:lineRule="auto"/>
        <w:jc w:val="right"/>
      </w:pPr>
      <w:r>
        <w:rPr>
          <w:rFonts w:ascii="David" w:cs="David" w:eastAsia="David" w:hAnsi="David"/>
          <w:sz w:val="24"/>
          <w:szCs w:val="24"/>
          <w:rtl/>
        </w:rPr>
        <w:t xml:space="preserve">הערעור השיטתי הראשון על התיאור המקובל בא במאמרו של קורנברג משנת 1980 ובספרו משנת 1993. קורנברג ביסס את טענתו על דיווחי הרצל מפריז, על שתיקת היומן בעניין דרייפוס ועל "הגטו החדש", וחיפש את הסבר המהפך בתחום הפסיכולוגי־תרבותי: הציונות של הרצל הייתה פתרון למשבר של זהות יהודית מתבוללת שהפנימה את בוז הסביבה, וניסיון להחזיר ליהודים את כבודם באמצעות הפיכתם לעם ריבוני (Kornberg, 1980, pp. 226-252; Kornberg, 1993, pp. 183-202).</w:t>
      </w:r>
    </w:p>
    <w:p>
      <w:pPr>
        <w:bidi/>
        <w:spacing w:after="120" w:line="360" w:lineRule="auto"/>
        <w:jc w:val="right"/>
      </w:pPr>
      <w:r>
        <w:rPr>
          <w:rFonts w:ascii="David" w:cs="David" w:eastAsia="David" w:hAnsi="David"/>
          <w:sz w:val="24"/>
          <w:szCs w:val="24"/>
          <w:rtl/>
        </w:rPr>
        <w:t xml:space="preserve">אבינרי העביר את מרכז הכובד מפריז לווינה, והוסיף טיעון היסטוריוגרפי: הרצל בנה בשנת 1899 את "מיתוס דרייפוס" משום שהיה זקוק לסיפור מוצא שידבר אל יהודי המערב ולא אל סכסוכים מקומיים באוסטריה, וההיסטוריונים הציונים אימצו את המיתוס משום שסיפק לתנועה ציווי מוסרי אוניברסלי (אבינרי, 2007, עמ' 84-108). שורסקה הציג את הרצל כחלק מ"השלישייה האוסטרית", לצד שנרר ולואגר, וטען שניתן להבין את הציונות שלו רק בהקשר הווינאי של שקיעת הליברליזם ועליית פוליטיקת ההמונים (Schorske, 1980, pp. 146-175). רוברט ויסטריך הדגיש אף הוא את המקור הווינאי ואת כישרונו של הרצל לבנות מיתוסים, ובכלל זה את מיתוס הולדתו שלו כציוני (Wistrich, 1995, pp. 1-37).</w:t>
      </w:r>
    </w:p>
    <w:p>
      <w:pPr>
        <w:bidi/>
        <w:spacing w:after="120" w:line="360" w:lineRule="auto"/>
        <w:jc w:val="right"/>
      </w:pPr>
      <w:r>
        <w:rPr>
          <w:rFonts w:ascii="David" w:cs="David" w:eastAsia="David" w:hAnsi="David"/>
          <w:sz w:val="24"/>
          <w:szCs w:val="24"/>
          <w:rtl/>
        </w:rPr>
        <w:t xml:space="preserve">עמדת ביניים הציע סטיבן בלר. הוא קיבל שהרקע הווינאי חשוב מן הפריזאי, אך הבחין בין הסיבה למהפך לבין המסגרת שלו: וינה סיפקה את הסיבה, משבר הליברליזם ועליית לואגר, ואילו פריז סיפקה את המסגרת הרעיונית, שכן רק בצרפת, ארץ האמנציפציה המלאה, יכול היה הרצל לנסח את הטענה העקרונית שהאמנציפציה כשלעצמה אינה פותרת את השאלה היהודית. אלמלא שהה בפריז, ייתכן שהיה מגיע למסקנה מקומית, שאוסטריה אינה מקום ליהודים, ולא למסקנה שאין מקום ליהודים באירופה כולה (Beller, 1991, pp. 20-45).</w:t>
      </w:r>
    </w:p>
    <w:p>
      <w:pPr>
        <w:pStyle w:val="Heading2"/>
        <w:bidi/>
        <w:spacing w:after="160" w:before="240" w:line="360"/>
        <w:jc w:val="right"/>
      </w:pPr>
      <w:r>
        <w:rPr>
          <w:rFonts w:ascii="David" w:cs="David" w:eastAsia="David" w:hAnsi="David"/>
          <w:b/>
          <w:bCs/>
          <w:sz w:val="28"/>
          <w:szCs w:val="28"/>
          <w:rtl/>
        </w:rPr>
        <w:t xml:space="preserve">7. סיכום הפרק</w:t>
      </w:r>
    </w:p>
    <w:p>
      <w:pPr>
        <w:bidi/>
        <w:spacing w:after="120" w:line="360" w:lineRule="auto"/>
        <w:jc w:val="right"/>
      </w:pPr>
      <w:r>
        <w:rPr>
          <w:rFonts w:ascii="David" w:cs="David" w:eastAsia="David" w:hAnsi="David"/>
          <w:sz w:val="24"/>
          <w:szCs w:val="24"/>
          <w:rtl/>
        </w:rPr>
        <w:t xml:space="preserve">הגורמים שנסקרו מצטרפים לשרשרת: היכרות ממושכת עם האנטישמיות הווינאית מאז 1882, לקחי פריז בדבר הפוליטיקה ההמונית, תפישת האנטישמיות כעובדה אובייקטיבית שלמד מדרימון, משבר אישי שדרש משימה כוללת, ומכה פוליטית בבית, ניצחון לואגר, בדיוק בחודשים שבהם נולד הרעיון. הרצל עצמו, כשמנה את הגורמים ביומנו, מנה את אלה ולא את דרייפוס. הפרק הבא יבחן מה מקומה של הפרשה לצדם.</w:t>
      </w:r>
    </w:p>
    <w:p>
      <w:pPr>
        <w:pStyle w:val="Heading1"/>
        <w:pageBreakBefore/>
        <w:bidi/>
        <w:spacing w:after="160" w:before="360" w:line="360"/>
        <w:jc w:val="right"/>
      </w:pPr>
      <w:r>
        <w:rPr>
          <w:rFonts w:ascii="David" w:cs="David" w:eastAsia="David" w:hAnsi="David"/>
          <w:b/>
          <w:bCs/>
          <w:sz w:val="32"/>
          <w:szCs w:val="32"/>
          <w:rtl/>
        </w:rPr>
        <w:t xml:space="preserve">פרק שלישי: פרשת דרייפוס והרצל</w:t>
      </w:r>
    </w:p>
    <w:p>
      <w:pPr>
        <w:bidi/>
        <w:spacing w:after="120" w:line="360" w:lineRule="auto"/>
        <w:jc w:val="right"/>
      </w:pPr>
      <w:r>
        <w:rPr>
          <w:rFonts w:ascii="David" w:cs="David" w:eastAsia="David" w:hAnsi="David"/>
          <w:sz w:val="24"/>
          <w:szCs w:val="24"/>
          <w:rtl/>
        </w:rPr>
        <w:t xml:space="preserve">פרק זה מתמקד בגורם שעליו נסב הוויכוח: פרשת דרייפוס. חלקו הראשון משחזר את השתלשלות הפרשה. חלקו השני בוחן את הרצל כעד, את דיווחיו מן המשפט ומטקס הורדת הדרגות ואת היעדר הפרשה מיומנו ומ"מדינת היהודים". חלקו השלישי עוקב אחר שובה של הפרשה לכתיבתו בשנים 1897-1899, עד למאמר שבו הכריז שמשפט דרייפוס עשה אותו לציוני. החלק הרביעי סוקר את הוויכוח ההיסטוריוגרפי, והחמישי מציע הכרעה.</w:t>
      </w:r>
    </w:p>
    <w:p>
      <w:pPr>
        <w:pStyle w:val="Heading2"/>
        <w:bidi/>
        <w:spacing w:after="160" w:before="240" w:line="360"/>
        <w:jc w:val="right"/>
      </w:pPr>
      <w:r>
        <w:rPr>
          <w:rFonts w:ascii="David" w:cs="David" w:eastAsia="David" w:hAnsi="David"/>
          <w:b/>
          <w:bCs/>
          <w:sz w:val="28"/>
          <w:szCs w:val="28"/>
          <w:rtl/>
        </w:rPr>
        <w:t xml:space="preserve">1. השתלשלות הפרשה (1894-1906)</w:t>
      </w:r>
    </w:p>
    <w:p>
      <w:pPr>
        <w:bidi/>
        <w:spacing w:after="120" w:line="360" w:lineRule="auto"/>
        <w:jc w:val="right"/>
      </w:pPr>
      <w:r>
        <w:rPr>
          <w:rFonts w:ascii="David" w:cs="David" w:eastAsia="David" w:hAnsi="David"/>
          <w:sz w:val="24"/>
          <w:szCs w:val="24"/>
          <w:rtl/>
        </w:rPr>
        <w:t xml:space="preserve">אלפרד דרייפוס נולד בשנת 1859 במילוז שבאלזס למשפחת תעשיינים יהודית. לאחר סיפוח אלזס לגרמניה בחרה המשפחה באזרחות צרפתית, ואלפרד בחר בקריירה צבאית ובשנת 1893 היה לקצין היהודי היחיד שהוצב כמתלמד במטה הכללי. בספטמבר 1894 הגיע לידי המודיעין הצרפתי מסמך, ה"בורדרו", שנשלף מסל האשפה של הנספח הצבאי הגרמני, ובו רשימת מסמכים שכותבו האלמוני הציע למסור לגרמנים. החקירה התמקדה בדרייפוס על יסוד דמיון מפוקפק בכתב היד ועל יסוד מוצאו האלזסי וידיעת הגרמנית. הוא נעצר ב-15 באוקטובר 1894, וב-1 בנובמבר פרסם "לה ליבר פארול" את דבר המעצר תחת הכותרת "בגידה: מעצרו של הקצין היהודי א' דרייפוס". מאותו רגע הפעילה העיתונות האנטישמית לחץ על משרד המלחמה שלא "לוותר ליהודים", ולחץ זה תרם להחלטה להעמידו לדין חרף חולשת הראיות (Bredin, 1986, pp. 59-95; Hyman, 1998, pp. 99-102).</w:t>
      </w:r>
    </w:p>
    <w:p>
      <w:pPr>
        <w:bidi/>
        <w:spacing w:after="120" w:line="360" w:lineRule="auto"/>
        <w:jc w:val="right"/>
      </w:pPr>
      <w:r>
        <w:rPr>
          <w:rFonts w:ascii="David" w:cs="David" w:eastAsia="David" w:hAnsi="David"/>
          <w:sz w:val="24"/>
          <w:szCs w:val="24"/>
          <w:rtl/>
        </w:rPr>
        <w:t xml:space="preserve">המשפט הצבאי התנהל בדלתיים סגורות בדצמבר 1894. משנתברר שהראיות אינן מספיקות, העביר שר המלחמה לשופטים "תיק סודי" של מסמכים, חלקם מזויפים, מבלי שההגנה ידעה על קיומו. ב-22 בדצמבר הורשע דרייפוס פה אחד ונידון לגירוש עולם. ב-5 בינואר 1895 נערך טקס הורדת הדרגות בחצר בית הספר הצבאי: דרגותיו נתלשו וחרבו נשברה לעיני אלפי חיילים וקהל, בעוד הוא זועק שהוא חף מפשע, ומן ההמון בקעו קריאות "מוות לבוגד", ולפי כמה עדויות גם "מוות ליהודים". באפריל הובל לאי השדים שבגיאנה, שם הוחזק בבידוד יותר מארבע שנים. בציבור הצרפתי, ובכלל זה ברוב יהודי צרפת, לא היה בשלב זה ספק באשמתו (Bredin, 1986, pp. 96-128; Harris, 2010, pp. 20-43).</w:t>
      </w:r>
    </w:p>
    <w:p>
      <w:pPr>
        <w:bidi/>
        <w:spacing w:after="120" w:line="360" w:lineRule="auto"/>
        <w:jc w:val="right"/>
      </w:pPr>
      <w:r>
        <w:rPr>
          <w:rFonts w:ascii="David" w:cs="David" w:eastAsia="David" w:hAnsi="David"/>
          <w:sz w:val="24"/>
          <w:szCs w:val="24"/>
          <w:rtl/>
        </w:rPr>
        <w:t xml:space="preserve">שני גורמים הפכו את "המקרה" ל"פרשה". הראשון היה מתיה דרייפוס, אחיו של הנידון, שגייס לצדו את ברנאר לאזאר; בנובמבר 1896 פרסם לאזאר בבריסל את חוברתו "טעות משפטית", הניסיון השיטתי הראשון להראות שדרייפוס הורשע מתוך דעה קדומה. השני היה הלוטננט־קולונל ז'ורז' פיקאר, ראש המודיעין החדש, שגילה במרץ 1896 כי כתב היד של ה"בורדרו" זהה לכתב ידו של המייג'ור פרדינן ולסן־אסטרהזי. פיקאר הורחק לצפון אפריקה, אך גילוייו הגיעו לסגן נשיא הסנאט שרר־קסטנר, ומנובמבר 1897 היה שמו של אסטרהזי ידוע ברבים. הצבא זימן את אסטרהזי למשפט מבוים, וב-11 בינואר 1898 זיכה אותו (Lazare, 1896; Bredin, 1986, pp. 129-247).</w:t>
      </w:r>
    </w:p>
    <w:p>
      <w:pPr>
        <w:bidi/>
        <w:spacing w:after="120" w:line="360" w:lineRule="auto"/>
        <w:jc w:val="right"/>
      </w:pPr>
      <w:r>
        <w:rPr>
          <w:rFonts w:ascii="David" w:cs="David" w:eastAsia="David" w:hAnsi="David"/>
          <w:sz w:val="24"/>
          <w:szCs w:val="24"/>
          <w:rtl/>
        </w:rPr>
        <w:t xml:space="preserve">יומיים לאחר מכן פרסם אמיל זולא ב"לורור" את מכתבו הפתוח לנשיא הרפובליקה, "אני מאשים", שבו האשים בשמם את הקצינים שזייפו את התיק ואת בתי הדין הצבאיים, והזמין את המדינה לתבוע אותו כדי שייערך משפט פומבי. שלוש מאות אלף עותקים נמכרו בו ביום. זולא הועמד לדין על דיבה, הורשע בפברואר 1898 ונמלט לאנגליה. המכתב פיצל את צרפת לשני מחנות, "דרייפוסארים" ו"אנטי־דרייפוסארים", והמאבק על דרייפוס הפך למאבק על דמות הרפובליקה: זכויות הפרט ושלטון החוק מול כבוד הצבא והאומה. בינואר ובפברואר 1898 פרצו מהומות אנטי־יהודיות בכחמישים וחמש ערים בצרפת, ובאלג'יר נרצחו יהודים. באוגוסט 1898 הודה הקולונל אנרי שזייף את המסמך המרכזי בתיק, ולמחרת שם קץ לחייו (Zola, 1898; Wilson, 1982, pp. 106-124; Harris, 2010, pp. 104-160).</w:t>
      </w:r>
    </w:p>
    <w:p>
      <w:pPr>
        <w:bidi/>
        <w:spacing w:after="120" w:line="360" w:lineRule="auto"/>
        <w:jc w:val="right"/>
      </w:pPr>
      <w:r>
        <w:rPr>
          <w:rFonts w:ascii="David" w:cs="David" w:eastAsia="David" w:hAnsi="David"/>
          <w:sz w:val="24"/>
          <w:szCs w:val="24"/>
          <w:rtl/>
        </w:rPr>
        <w:t xml:space="preserve">ביוני 1899 ביטל בית המשפט העליון את פסק הדין והורה על משפט חוזר. בית הדין הצבאי ברן הרשיע את דרייפוס שוב, "בנסיבות מקלות", ונשיא הרפובליקה העניק לו חנינה ב-19 בספטמבר 1899. רק ביולי 1906 בוטל פסק הדין סופית ודרייפוס הוחזר לצבא. מבחינה פוליטית הסתיימה הפרשה בניצחון הרפובליקה, ששיאו בחוק הפרדת הדת מן המדינה בשנת 1905. מבחינת יהודי צרפת הייתה משמעותה כפולה: הפרשה הוכיחה שהמדינה מסוגלת בסופו של דבר להגן על אזרחיה היהודים, אך גם חשפה שגם במולדת האמנציפציה אפשר להפוך את היהודי המשולב ביותר ל"זר" בתוך ימים (מירון, 2022, עמ' 63; Bredin, 1986, pp. 379-485; Hyman, 1998, pp. 106-114).</w:t>
      </w:r>
    </w:p>
    <w:p>
      <w:pPr>
        <w:pStyle w:val="Heading2"/>
        <w:bidi/>
        <w:spacing w:after="160" w:before="240" w:line="360"/>
        <w:jc w:val="right"/>
      </w:pPr>
      <w:r>
        <w:rPr>
          <w:rFonts w:ascii="David" w:cs="David" w:eastAsia="David" w:hAnsi="David"/>
          <w:b/>
          <w:bCs/>
          <w:sz w:val="28"/>
          <w:szCs w:val="28"/>
          <w:rtl/>
        </w:rPr>
        <w:t xml:space="preserve">2. הרצל כעד: דיווחים, יומן ו"מדינת היהודים"</w:t>
      </w:r>
    </w:p>
    <w:p>
      <w:pPr>
        <w:bidi/>
        <w:spacing w:after="120" w:line="360" w:lineRule="auto"/>
        <w:jc w:val="right"/>
      </w:pPr>
      <w:r>
        <w:rPr>
          <w:rFonts w:ascii="David" w:cs="David" w:eastAsia="David" w:hAnsi="David"/>
          <w:sz w:val="24"/>
          <w:szCs w:val="24"/>
          <w:rtl/>
        </w:rPr>
        <w:t xml:space="preserve">הרצל סיקר את משפט דרייפוס בדצמבר 1894 ואת טקס הורדת הדרגות ב-5 בינואר 1895. דיווחיו הם המקור החשוב ביותר לבחינת מה ראה בזמן אמת, בניגוד למה שסיפר בדיעבד, ואת ניתוחם המדוקדק חבים אנו לקורנברג ולאבינרי. שני ממצאים עולים מהם. ראשית, הרצל לא פקפק באשמת דרייפוס. כמו רוב הצרפתים קיבל את פסק הדין, ובדיווחיו ניסה להסביר את הפסיכולוגיה של הבוגד; אפשרות החפות החלה להעסיקו רק בשנים 1896-1897. שנית, בדיווחו על הטקס תיאר את ההמון הצועק "מוות לבוגד" ואת דרייפוס הזועק שהוא חף מפשע, אך לא הזכיר קריאות "מוות ליהודים". התיאור המפורסם של ההמון הפריזאי הצועק "מוות ליהודים" מופיע לראשונה במאמרו משנת 1899. גדעון קוץ, שבחן את הדיווחים במסגרת מחקרו על סיקור הפרשה בעיתונות היהודית, הגיע לאותה מסקנה: דיווחי הרצל לא נקטו עמדה בשאלת חפותו של הנאשם, הזכירו את יהדותו פעם אחת בלבד ונמנעו מלתאר תגובות אנטישמיות, גם בטקס שלילת הדרגה (אבינרי, 2007, עמ' 84-92; קוץ, 2014, עמ' 8; Kornberg, 1993, pp. 183-194).</w:t>
      </w:r>
    </w:p>
    <w:p>
      <w:pPr>
        <w:bidi/>
        <w:spacing w:after="120" w:line="360" w:lineRule="auto"/>
        <w:jc w:val="right"/>
      </w:pPr>
      <w:r>
        <w:rPr>
          <w:rFonts w:ascii="David" w:cs="David" w:eastAsia="David" w:hAnsi="David"/>
          <w:sz w:val="24"/>
          <w:szCs w:val="24"/>
          <w:rtl/>
        </w:rPr>
        <w:t xml:space="preserve">אין פירוש הדבר שהטקס לא הרשים את הרצל. תיאורו את ההשפלה הפומבית של קצין, את שבירת החרב ואת המולת ההמון הוא תיאור של אדם נסער. אך הרושם היה, בשלב זה, רושם של עיתונאי המדווח על דרמה צבאית־משפטית בארץ זרה. חמישה חודשים לאחר מכן, כשפתח את יומנו ומנה את הגורמים שהביאוהו לרעיון, לא כלל בהם את הפרשה, וגם בפגישתו עם הירש וב"נאום לרוטשילדים" לא הזכיר אותה (הרצל, 1895/1997, כרך א; Herzl, 1960, vol. 1, pp. 3-130).</w:t>
      </w:r>
    </w:p>
    <w:p>
      <w:pPr>
        <w:bidi/>
        <w:spacing w:after="120" w:line="360" w:lineRule="auto"/>
        <w:jc w:val="right"/>
      </w:pPr>
      <w:r>
        <w:rPr>
          <w:rFonts w:ascii="David" w:cs="David" w:eastAsia="David" w:hAnsi="David"/>
          <w:sz w:val="24"/>
          <w:szCs w:val="24"/>
          <w:rtl/>
        </w:rPr>
        <w:t xml:space="preserve">"מדינת היהודים" ראתה אור ב-14 בפברואר 1896. הטיעון בנוי בהיגיון הדוק: השאלה היהודית קיימת בכל מקום שבו חיים יהודים במספר ניכר, והיא שאלה לאומית; האמנציפציה באה מאוחר מדי, אינה ניתנת לביטול משפטי אך גם אינה ניתנת למימוש חברתי, מפני שהעמים אינם מאפשרים ליהודים להיטמע; האנטישמיות המודרנית היא תוצאה של האמנציפציה ולא של היעדרה, והיא גוברת עם התחרות הכלכלית; מכאן שהיהודים הם עם, ועם זקוק לטריטוריה ולריבונות. צרפת נזכרת בחוברת פעמים אחדות כדוגמה לארץ שבה קיימת אנטישמיות אף שהאמנציפציה בה מלאה, אך דרייפוס אינו נזכר בה ולו פעם אחת. בפברואר 1896 היה המקרה סגור ונשכח, ומחבר החוברת, שעדיין האמין באשמת דרייפוס, לא ראה בו הוכחה לטענתו. ההוכחה שהביא הייתה הניתוח הסוציולוגי של האנטישמיות כתופעה הנלווית לאמנציפציה, ניתוח שדוד ויטל ראה בו את תרומתו החשובה ביותר למחשבה הציונית (ויטל, 1978, עמ' 217-262; אבינרי, 1980, עמ' 107-124; Herzl, 1988, pp. 75-100).</w:t>
      </w:r>
    </w:p>
    <w:p>
      <w:pPr>
        <w:pStyle w:val="Heading2"/>
        <w:bidi/>
        <w:spacing w:after="160" w:before="240" w:line="360"/>
        <w:jc w:val="right"/>
      </w:pPr>
      <w:r>
        <w:rPr>
          <w:rFonts w:ascii="David" w:cs="David" w:eastAsia="David" w:hAnsi="David"/>
          <w:b/>
          <w:bCs/>
          <w:sz w:val="28"/>
          <w:szCs w:val="28"/>
          <w:rtl/>
        </w:rPr>
        <w:t xml:space="preserve">3. הפרשה חוזרת: 1897-1899 ומאמר "ציונות"</w:t>
      </w:r>
    </w:p>
    <w:p>
      <w:pPr>
        <w:bidi/>
        <w:spacing w:after="120" w:line="360" w:lineRule="auto"/>
        <w:jc w:val="right"/>
      </w:pPr>
      <w:r>
        <w:rPr>
          <w:rFonts w:ascii="David" w:cs="David" w:eastAsia="David" w:hAnsi="David"/>
          <w:sz w:val="24"/>
          <w:szCs w:val="24"/>
          <w:rtl/>
        </w:rPr>
        <w:t xml:space="preserve">יחסו של הרצל לפרשה השתנה עם התלקחותה מחדש בשלהי 1897. הרצל עמד אז בראש תנועה, הקונגרס הציוני הראשון התכנס בבזל באוגוסט 1897, וערך את השבועון "די ולט". הוא עקב אחר גילויי אסטרהזי, אחר "אני מאשים" ואחר מהומות 1898, והפרשה נעשתה נושא קבוע במאמריו ובנאומיו. עתה החלה למלא בהגותו את התפקיד שייחסו לה הביוגרפים: הוכחה לכך שגם במולדת זכויות האדם, מאה שנה אחרי המהפכה, אין היהודי בטוח. באותה עת התקרב לתנועה ברנאר לאזאר, שנבחר לוועד הפועל הציוני בקונגרס השני (1898) ופרש כעבור פחות משנה בשל מחלוקת על סגנון המנהיגות של הרצל. לנג ציין שבקרב יהודי צרפת, שהגיבו על הפרשה "בדיסקרטיות רבה", נתקבלו מאמריו של הרצל על הפרשה בהסתייגות כבלתי מתאימים, בעוד דבריהם של לאזאר ושל ההיסטוריון יוסף ריינך נחשבו ראויים (לנג, 2014, עמ' 21; Elon, 1975, pp. 253-260; Hyman, 1998, pp. 104-106).</w:t>
      </w:r>
    </w:p>
    <w:p>
      <w:pPr>
        <w:bidi/>
        <w:spacing w:after="120" w:line="360" w:lineRule="auto"/>
        <w:jc w:val="right"/>
      </w:pPr>
      <w:r>
        <w:rPr>
          <w:rFonts w:ascii="David" w:cs="David" w:eastAsia="David" w:hAnsi="David"/>
          <w:sz w:val="24"/>
          <w:szCs w:val="24"/>
          <w:rtl/>
        </w:rPr>
        <w:t xml:space="preserve">עד ינואר 1898 היה "מקרה דרייפוס" עניין צרפתי בעיקרו. קוץ הראה שהעיתונות היהודית בצרפת טיפלה בראשית הפרשה בזהירות, מתוך הנחה שהפרשה גרמה להתפרצות האנטישמית ולא שהאנטישמיות הביאה לעלילה, ושבעיתונות העברית באירופה נחלקו העמדות לפי קו אידאולוגי: העיתונים הציוניים, "המליץ" ו"המגיד", ראו בדרייפוס קורבן לעלילה אנטישמית, ואילו "הצפירה" של נחום סוקולוב, שהאמין בעתיד היהודים כאזרחים שווים, נטה לקבל את הרשעתו. גם בארץ ישראל, כפי שהראה יוסף לנג, פירשה עיתונותו של אליעזר בן־יהודה את הפרשה בכלים לאומיים, ואברהם לודוויפול כתב ב"הצבי" שהתקרבותם של לאזאר ונורדאו לרעיון הלאומי נבעה מ"מדינת היהודים" של הרצל (קוץ, 2014, עמ' 14-15; לנג, 2014, עמ' 18-19). רק עם משפט זולא והמהומות נעשתה הפרשה לנושא הראשון במעלה בעיתונות האירופית והאמריקנית, והתמונה של "צרפת האנטישמית" התקבעה. עובדה כרונולוגית זו חיונית: כשכתב הרצל את "מדינת היהודים" וכשכינס את הקונגרס הראשון, טרם הפכה הפרשה למה שאנו מכירים היום. היא הפכה לכזו רק כשהוא כבר עמד בראש תנועה שחיפשה הוכחות לצדקת דרכה (Cahm, 1996, pp. 49-68).</w:t>
      </w:r>
    </w:p>
    <w:p>
      <w:pPr>
        <w:bidi/>
        <w:spacing w:after="120" w:line="360" w:lineRule="auto"/>
        <w:jc w:val="right"/>
      </w:pPr>
      <w:r>
        <w:rPr>
          <w:rFonts w:ascii="David" w:cs="David" w:eastAsia="David" w:hAnsi="David"/>
          <w:sz w:val="24"/>
          <w:szCs w:val="24"/>
          <w:rtl/>
        </w:rPr>
        <w:t xml:space="preserve">השיא של התהליך הוא המאמר "ציונות", שפרסם הרצל ביולי 1899 ב"נורת' אמריקן ריוויו", חודשיים לפני משפט רן, כשהפרשה עמדה בשיא תשומת הלב העולמית. במאמר, שנועד לקהל אמריקני שאהדתו לדרייפוס הייתה מלאה, כתב הרצל שמשפט דרייפוס, שבו נכח בשנת 1894, הוא שעשה אותו לציוני; שדרייפוס הורשע משום שהיה יהודי; ושההמון צעק "מוות ליהודים". אם עם כה מתקדם כעם הצרפתי מסוגל לכך, שאל, מה יכולים היהודים לצפות מעמים אחרים? ניסוח זה, שחזר עליו הרצל עד מותו, הוא מקור המיתוס. הוא נכתב בידי מנהיג פוליטי המבקש לתת לתנועתו סיפור מוצא משכנע, בשעה שהפרשה סיפקה לו את הסיפור הטוב ביותר האפשרי: לא פוליטיקה עירונית וינאית שהעולם לא הכיר, אלא דרמה עולמית שבה כל קורא נאור עמד לצד היהודי (אבינרי, 2007, עמ' 86-90; Herzl, 1899, pp. 1-8).</w:t>
      </w:r>
    </w:p>
    <w:p>
      <w:pPr>
        <w:pStyle w:val="Heading2"/>
        <w:bidi/>
        <w:spacing w:after="160" w:before="240" w:line="360"/>
        <w:jc w:val="right"/>
      </w:pPr>
      <w:r>
        <w:rPr>
          <w:rFonts w:ascii="David" w:cs="David" w:eastAsia="David" w:hAnsi="David"/>
          <w:b/>
          <w:bCs/>
          <w:sz w:val="28"/>
          <w:szCs w:val="28"/>
          <w:rtl/>
        </w:rPr>
        <w:t xml:space="preserve">4. הוויכוח ההיסטוריוגרפי</w:t>
      </w:r>
    </w:p>
    <w:p>
      <w:pPr>
        <w:bidi/>
        <w:spacing w:after="120" w:line="360" w:lineRule="auto"/>
        <w:jc w:val="right"/>
      </w:pPr>
      <w:r>
        <w:rPr>
          <w:rFonts w:ascii="David" w:cs="David" w:eastAsia="David" w:hAnsi="David"/>
          <w:sz w:val="24"/>
          <w:szCs w:val="24"/>
          <w:rtl/>
        </w:rPr>
        <w:t xml:space="preserve">הביוגרפיה של אלכס ביין, שפורסמה בשנת 1934, קיבעה את הגרסה שבה הפרשה עומדת במרכז. ביין הכיר את התחנות המוקדמות ותיאר אותן, אך המבנה של ספרו העמיד את הטקס של ינואר 1895 כרגע ההכרעה, ואת עדות הרצל משנת 1899 כמהימנה. מאחר שספרו היה עשרות שנים המקור הביוגרפי המוסמך, הפך תיאורו לגרסה הקנונית. עמוס אלון, בביוגרפיה משנת 1975, כתב את סצנת הורדת הדרגות בכישרון ספרותי, שילב בה את קריאות "מוות ליהודים" כעובדה, והציג את הפרשה כזרז שהפך את המשבר האישי של הרצל לרעיון. דזמונד סטיוארט אימץ תמונה דומה (Bein, 1941, pp. 95-124; Elon, 1975, pp. 114-130; Stewart, 1974, pp. 155-182).</w:t>
      </w:r>
    </w:p>
    <w:p>
      <w:pPr>
        <w:bidi/>
        <w:spacing w:after="120" w:line="360" w:lineRule="auto"/>
        <w:jc w:val="right"/>
      </w:pPr>
      <w:r>
        <w:rPr>
          <w:rFonts w:ascii="David" w:cs="David" w:eastAsia="David" w:hAnsi="David"/>
          <w:sz w:val="24"/>
          <w:szCs w:val="24"/>
          <w:rtl/>
        </w:rPr>
        <w:t xml:space="preserve">הביקורת של קורנברג ואבינרי, שהוצגה בפרק השני, ערערה על גרסה זו על יסוד שלוש ראיות: הדיווחים, שתיקת היומן ו"הגטו החדש". ההבדל בין המסורת הביוגרפית לבין הביקורת אינו בעובדות אלא במשקל: המסורת ראתה בתחנות המוקדמות הכנה ובפרשה הכרעה, והביקורת הפכה את היוצרות. גם הביוגרפיה של פנסלר משנת 2020, המבקשת לשקם חלק מן התיאור הישן, מקבלת את העובדות. פנסלר הציע תיקון פרשני: השאלה "מה גרם להרצל להפוך לציוני" מניחה מודל של סיבה ותוצאה שאינו הולם מהפכים אינטלקטואליים. הפרשה, כמו ניצחון לואגר, כמו דרימון, הייתה חלק מהצטברות, ואין טעם לבודד גורם אחד. מה שהיה ייחודי בה אינו תוכנה אלא הצורה: הרצל ראה במו עיניו טקס השפלה פומבי של יהודי, לקול המולת המון, חוויה חושית ורגשית מן הסוג שהשל ביקשה להחזיר אל חקר האנטישמיות. חוויה זו לא הולידה את הרעיון, אך סיפקה לו בדיעבד את הדימוי המרכזי (השל, תש"ף, עמ' 5-30; Penslar, 2020, pp. 49-70).</w:t>
      </w:r>
    </w:p>
    <w:p>
      <w:pPr>
        <w:pStyle w:val="Heading2"/>
        <w:bidi/>
        <w:spacing w:after="160" w:before="240" w:line="360"/>
        <w:jc w:val="right"/>
      </w:pPr>
      <w:r>
        <w:rPr>
          <w:rFonts w:ascii="David" w:cs="David" w:eastAsia="David" w:hAnsi="David"/>
          <w:b/>
          <w:bCs/>
          <w:sz w:val="28"/>
          <w:szCs w:val="28"/>
          <w:rtl/>
        </w:rPr>
        <w:t xml:space="preserve">5. הערכה: שני שלבים</w:t>
      </w:r>
    </w:p>
    <w:p>
      <w:pPr>
        <w:bidi/>
        <w:spacing w:after="120" w:line="360" w:lineRule="auto"/>
        <w:jc w:val="right"/>
      </w:pPr>
      <w:r>
        <w:rPr>
          <w:rFonts w:ascii="David" w:cs="David" w:eastAsia="David" w:hAnsi="David"/>
          <w:sz w:val="24"/>
          <w:szCs w:val="24"/>
          <w:rtl/>
        </w:rPr>
        <w:t xml:space="preserve">מן הניתוח עולה תמונה של שני שלבים. בשלב לידת הרעיון, מסתיו 1894 ועד פברואר 1896, מילאה הפרשה תפקיד שולי: היא הייתה אחד מן הרשמים שקלט הרצל בפריז, אך לא הופיעה במניין הגורמים שערך, ולא בטיעון שניסח. בשלב ההפצה והמיסוד, מסוף 1897 ואילך, נעשתה מרכזית, כראיה, כסמל וכסיפור מוצא.</w:t>
      </w:r>
    </w:p>
    <w:p>
      <w:pPr>
        <w:bidi/>
        <w:spacing w:after="120" w:line="360" w:lineRule="auto"/>
        <w:jc w:val="right"/>
      </w:pPr>
      <w:r>
        <w:rPr>
          <w:rFonts w:ascii="David" w:cs="David" w:eastAsia="David" w:hAnsi="David"/>
          <w:sz w:val="24"/>
          <w:szCs w:val="24"/>
          <w:rtl/>
        </w:rPr>
        <w:t xml:space="preserve">להבחנה זו יש תוספת שהוויכוח הביוגרפי נוטה להזניח: ההבדל בין השפעת הפרשה על הרצל לבין השפעתה על התנועה הציונית. גם אם לא הפרשה עשתה את הרצל לציוני, היא תרמה להצלחת הציונות בשנים 1898-1904. היא סיפקה לתנועה את הטיעון הנוח ביותר במשא ומתן עם יהודי המערב ועם מדינאי אירופה; היא הביאה אליה אינטלקטואלים כלאזאר וכמקס נורדאו, שחוו את הפרשה בפריז מקרוב; והיא העניקה למנהיגה סיפור מוצא שהפך אותו מפיליטוניסט וינאי לנביא שראה בפריז את הכתובת על הקיר. המיתוס שיצר הרצל היה עצמו גורם היסטורי, ואת פועלו אין לבטל בביטול אמיתותו (Wistrich, 1995, pp. 1-37; Penslar, 2020, pp. 60-70).</w:t>
      </w:r>
    </w:p>
    <w:p>
      <w:pPr>
        <w:pStyle w:val="Heading1"/>
        <w:pageBreakBefore/>
        <w:bidi/>
        <w:spacing w:after="160" w:before="360" w:line="360"/>
        <w:jc w:val="right"/>
      </w:pPr>
      <w:r>
        <w:rPr>
          <w:rFonts w:ascii="David" w:cs="David" w:eastAsia="David" w:hAnsi="David"/>
          <w:b/>
          <w:bCs/>
          <w:sz w:val="32"/>
          <w:szCs w:val="32"/>
          <w:rtl/>
        </w:rPr>
        <w:t xml:space="preserve">סיכום</w:t>
      </w:r>
    </w:p>
    <w:p>
      <w:pPr>
        <w:bidi/>
        <w:spacing w:after="120" w:line="360" w:lineRule="auto"/>
        <w:jc w:val="right"/>
      </w:pPr>
      <w:r>
        <w:rPr>
          <w:rFonts w:ascii="David" w:cs="David" w:eastAsia="David" w:hAnsi="David"/>
          <w:sz w:val="24"/>
          <w:szCs w:val="24"/>
          <w:rtl/>
        </w:rPr>
        <w:t xml:space="preserve">עבודה זו יצאה מן השאלה באיזו מידה הייתה פרשת דרייפוס גורם מכריע במעבר של הרצל מתמיכה בהתבוללות לגיבוש הרעיון הציוני המדיני, ומה היו הגורמים הנוספים שהשפיעו על מהפך זה. התשובה שהתגבשה נשענת על הבחנה בין שני שלבים.</w:t>
      </w:r>
    </w:p>
    <w:p>
      <w:pPr>
        <w:bidi/>
        <w:spacing w:after="120" w:line="360" w:lineRule="auto"/>
        <w:jc w:val="right"/>
      </w:pPr>
      <w:r>
        <w:rPr>
          <w:rFonts w:ascii="David" w:cs="David" w:eastAsia="David" w:hAnsi="David"/>
          <w:sz w:val="24"/>
          <w:szCs w:val="24"/>
          <w:rtl/>
        </w:rPr>
        <w:t xml:space="preserve">בשלב לידת הרעיון, מסתיו 1894 ועד פברואר 1896, לא הייתה הפרשה גורם מכריע. הרצל קיבל בזמן אמת את אשמת דרייפוס; דיווחיו מטקס הורדת הדרגות אינם מזכירים קריאות אנטישמיות; היומן שפתח ביוני 1895, שבו מנה את תחנות דרכו, אינו מזכיר את הפרשה; ו"מדינת היהודים" אינו מזכיר את דרייפוס. במקום הפרשה עלתה מן המקורות שרשרת של גורמים אחרים, שנדונו בפרק השני: ההיכרות הממושכת עם האנטישמיות הווינאית מאז 1882; לקחי פריז בדבר הפוליטיקה ההמונית ותפישת האנטישמיות כעובדה אובייקטיבית שלמד מדרימון; המשבר האישי שהוביל אל "הגטו החדש"; ועליית לואגר לשלטון בווינה באביב 1895, בדיוק בחודשים שבהם נולד הרעיון. הרקע שהוצג בפרק הראשון מסביר מדוע היה הרצל רגיש יותר לחדשות מווינה מאשר לדרמה בפריז: באוסטריה, ורק בה, כבשה מפלגה אנטישמית את השלטון בעיר הבירה, ואילו האנטישמיות הצרפתית, על כל עוצמתה הרטורית, נותרה תופעה של אופוזיציה.</w:t>
      </w:r>
    </w:p>
    <w:p>
      <w:pPr>
        <w:bidi/>
        <w:spacing w:after="120" w:line="360" w:lineRule="auto"/>
        <w:jc w:val="right"/>
      </w:pPr>
      <w:r>
        <w:rPr>
          <w:rFonts w:ascii="David" w:cs="David" w:eastAsia="David" w:hAnsi="David"/>
          <w:sz w:val="24"/>
          <w:szCs w:val="24"/>
          <w:rtl/>
        </w:rPr>
        <w:t xml:space="preserve">בשלב ההפצה והמיסוד, משלהי 1897 ועד מותו של הרצל בשנת 1904, נעשתה הפרשה מרכזית. משהתלקחה מחדש בעקבות "אני מאשים" ומהומות 1898 ראה בה הרצל את ההוכחה לטענתו שגם במולדת זכויות האדם אין היהודי בטוח, וכתב במאמרו משנת 1899 שמשפט דרייפוס עשה אותו לציוני. המיתוס לא היה אמת ביוגרפית, אך הוא היה עובדה היסטורית: הוא סיפק לתנועה סיפור מוצא אוניברסלי וקירב אליה אינטלקטואלים כברנאר לאזאר.</w:t>
      </w:r>
    </w:p>
    <w:p>
      <w:pPr>
        <w:bidi/>
        <w:spacing w:after="120" w:line="360" w:lineRule="auto"/>
        <w:jc w:val="right"/>
      </w:pPr>
      <w:r>
        <w:rPr>
          <w:rFonts w:ascii="David" w:cs="David" w:eastAsia="David" w:hAnsi="David"/>
          <w:sz w:val="24"/>
          <w:szCs w:val="24"/>
          <w:rtl/>
        </w:rPr>
        <w:t xml:space="preserve">מסקנה זו מתיישבת עם הוויכוח ההיסטוריוגרפי שהוצג בפרק הראשון. גישתו של אנגל, הקוראת להסביר כל תופעה בהקשרה הקונקרטי, הוכיחה את ערכה: רק בחינה של מה שראה הרצל, מה שכתב ומתי כתב מאפשרת להבחין בין הפרשה כגורם לבין הפרשה כסיפור. אך גם הסתייגותה של השל נמצאה מועילה, שכן החוויה החושית של טקס ההשפלה, גם אם לא הולידה את הרעיון, סיפקה לו את הדימוי שבאמצעותו נחרת בזיכרון.</w:t>
      </w:r>
    </w:p>
    <w:p>
      <w:pPr>
        <w:bidi/>
        <w:spacing w:after="120" w:line="360" w:lineRule="auto"/>
        <w:jc w:val="right"/>
      </w:pPr>
      <w:r>
        <w:rPr>
          <w:rFonts w:ascii="David" w:cs="David" w:eastAsia="David" w:hAnsi="David"/>
          <w:sz w:val="24"/>
          <w:szCs w:val="24"/>
          <w:rtl/>
        </w:rPr>
        <w:t xml:space="preserve">מן העבודה עולות שתי המלצות למחקר המשך. הראשונה היא בחינה שיטתית של כלל דיווחיו של הרצל ב"נויה פרייה פרסה" בשנים 1891-1895, שרק חלקם כונסו, כדי לדייק את תמונת השפעת פריז עליו. השנייה היא השוואה בין הדרך שבה עיבדו יהודי צרפת את הפרשה, ובהם לאזאר, נורדאו ואנדרה ספיר, שאצלם הייתה הפרשה אכן נקודת המפנה, לבין הדרך שבה עיבד אותה איש וינה. השוואה כזאת תשאל לא רק מה עשתה הפרשה להרצל, אלא מה עשה הרצל לפרשה.</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(1980). </w:t>
      </w:r>
      <w:r>
        <w:rPr>
          <w:rFonts w:ascii="David" w:cs="David" w:eastAsia="David" w:hAnsi="David"/>
          <w:b/>
          <w:bCs/>
          <w:i w:val="false"/>
          <w:iCs w:val="false"/>
          <w:sz w:val="24"/>
          <w:szCs w:val="24"/>
          <w:rtl/>
        </w:rPr>
        <w:t xml:space="preserve">הרעיון הציוני לגווניו: פרקים בתולדות המחשבה המדינית היהודית</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הרצל, ב"ז (1997). </w:t>
      </w:r>
      <w:r>
        <w:rPr>
          <w:rFonts w:ascii="David" w:cs="David" w:eastAsia="David" w:hAnsi="David"/>
          <w:b/>
          <w:bCs/>
          <w:i w:val="false"/>
          <w:iCs w:val="false"/>
          <w:sz w:val="24"/>
          <w:szCs w:val="24"/>
          <w:rtl/>
        </w:rPr>
        <w:t xml:space="preserve">עניין היהודים: ספרי יומן 1895-1904</w:t>
      </w:r>
      <w:r>
        <w:rPr>
          <w:rFonts w:ascii="David" w:cs="David" w:eastAsia="David" w:hAnsi="David"/>
          <w:sz w:val="24"/>
          <w:szCs w:val="24"/>
          <w:rtl/>
        </w:rPr>
        <w:t xml:space="preserve"> (י' ונקרט, מתרגם), כרך א. ירושלים: מוסד ביאליק. (נכתב במקור בשנת 1895)</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ויטל, ד' (1978). </w:t>
      </w:r>
      <w:r>
        <w:rPr>
          <w:rFonts w:ascii="David" w:cs="David" w:eastAsia="David" w:hAnsi="David"/>
          <w:b/>
          <w:bCs/>
          <w:i w:val="false"/>
          <w:iCs w:val="false"/>
          <w:sz w:val="24"/>
          <w:szCs w:val="24"/>
          <w:rtl/>
        </w:rPr>
        <w:t xml:space="preserve">המהפכה הציונית: ראשית התנועה</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לנג, י' (2014). תגובות העיתונות העברית בארץ ישראל על פרשת דרייפוס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16-29.</w:t>
      </w:r>
    </w:p>
    <w:p>
      <w:pPr>
        <w:bidi/>
        <w:spacing w:after="240" w:line="240" w:lineRule="auto"/>
        <w:ind w:left="720" w:hanging="720"/>
        <w:jc w:val="right"/>
      </w:pPr>
      <w:r>
        <w:rPr>
          <w:rFonts w:ascii="David" w:cs="David" w:eastAsia="David" w:hAnsi="David"/>
          <w:sz w:val="24"/>
          <w:szCs w:val="24"/>
          <w:rtl/>
        </w:rPr>
        <w:t xml:space="preserve">קוץ, ג' (2014). ראשיתה של פרשת דרייפוס בעיתונות העברית והיהודית באירופה: כוחן של אידאולוגיות.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4-15.</w:t>
      </w:r>
    </w:p>
    <w:p>
      <w:pPr>
        <w:bidi w:val="false"/>
        <w:spacing w:after="240" w:line="240" w:lineRule="auto"/>
        <w:ind w:left="720" w:hanging="720"/>
        <w:jc w:val="left"/>
      </w:pPr>
      <w:r>
        <w:rPr>
          <w:rFonts w:ascii="David" w:cs="David" w:eastAsia="David" w:hAnsi="David"/>
          <w:sz w:val="24"/>
          <w:szCs w:val="24"/>
          <w:rtl w:val="false"/>
        </w:rPr>
        <w:t xml:space="preserve">Avineri, S. (1999). Theodor Herzl's diaries as a Bildungsroman. </w:t>
      </w:r>
      <w:r>
        <w:rPr>
          <w:rFonts w:ascii="David" w:cs="David" w:eastAsia="David" w:hAnsi="David"/>
          <w:i/>
          <w:iCs/>
          <w:sz w:val="24"/>
          <w:szCs w:val="24"/>
          <w:rtl w:val="false"/>
        </w:rPr>
        <w:t xml:space="preserve">Jewish Social Studies</w:t>
      </w:r>
      <w:r>
        <w:rPr>
          <w:rFonts w:ascii="David" w:cs="David" w:eastAsia="David" w:hAnsi="David"/>
          <w:sz w:val="24"/>
          <w:szCs w:val="24"/>
          <w:rtl w:val="false"/>
        </w:rPr>
        <w:t xml:space="preserve">, 5(3), 1-46.</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Bredin, J.-D. (1986). </w:t>
      </w:r>
      <w:r>
        <w:rPr>
          <w:rFonts w:ascii="David" w:cs="David" w:eastAsia="David" w:hAnsi="David"/>
          <w:i/>
          <w:iCs/>
          <w:sz w:val="24"/>
          <w:szCs w:val="24"/>
          <w:rtl w:val="false"/>
        </w:rPr>
        <w:t xml:space="preserve">The affair: The case of Alfred Dreyfus</w:t>
      </w:r>
      <w:r>
        <w:rPr>
          <w:rFonts w:ascii="David" w:cs="David" w:eastAsia="David" w:hAnsi="David"/>
          <w:sz w:val="24"/>
          <w:szCs w:val="24"/>
          <w:rtl w:val="false"/>
        </w:rPr>
        <w:t xml:space="preserve"> (J. Mehlman, Trans.). New York: George Braziller.</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Harris, R. (2010). </w:t>
      </w:r>
      <w:r>
        <w:rPr>
          <w:rFonts w:ascii="David" w:cs="David" w:eastAsia="David" w:hAnsi="David"/>
          <w:i/>
          <w:iCs/>
          <w:sz w:val="24"/>
          <w:szCs w:val="24"/>
          <w:rtl w:val="false"/>
        </w:rPr>
        <w:t xml:space="preserve">Dreyfus: Politics, emotion, and the scandal of the century</w:t>
      </w:r>
      <w:r>
        <w:rPr>
          <w:rFonts w:ascii="David" w:cs="David" w:eastAsia="David" w:hAnsi="David"/>
          <w:sz w:val="24"/>
          <w:szCs w:val="24"/>
          <w:rtl w:val="false"/>
        </w:rPr>
        <w:t xml:space="preserve">. New York: Metropolitan Books.</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Herzl, T. (1960). </w:t>
      </w:r>
      <w:r>
        <w:rPr>
          <w:rFonts w:ascii="David" w:cs="David" w:eastAsia="David" w:hAnsi="David"/>
          <w:i/>
          <w:iCs/>
          <w:sz w:val="24"/>
          <w:szCs w:val="24"/>
          <w:rtl w:val="false"/>
        </w:rPr>
        <w:t xml:space="preserve">The complete diaries of Theodor Herzl</w:t>
      </w:r>
      <w:r>
        <w:rPr>
          <w:rFonts w:ascii="David" w:cs="David" w:eastAsia="David" w:hAnsi="David"/>
          <w:sz w:val="24"/>
          <w:szCs w:val="24"/>
          <w:rtl w:val="false"/>
        </w:rPr>
        <w:t xml:space="preserve"> (R. Patai, Ed.; H. Zohn, Trans.) (5 vols.). New York: Herzl Press and Thomas Yoseloff.</w:t>
      </w:r>
    </w:p>
    <w:p>
      <w:pPr>
        <w:bidi w:val="false"/>
        <w:spacing w:after="240" w:line="240" w:lineRule="auto"/>
        <w:ind w:left="720" w:hanging="720"/>
        <w:jc w:val="left"/>
      </w:pPr>
      <w:r>
        <w:rPr>
          <w:rFonts w:ascii="David" w:cs="David" w:eastAsia="David" w:hAnsi="David"/>
          <w:sz w:val="24"/>
          <w:szCs w:val="24"/>
          <w:rtl w:val="false"/>
        </w:rPr>
        <w:t xml:space="preserve">Herzl, T. (1988). </w:t>
      </w:r>
      <w:r>
        <w:rPr>
          <w:rFonts w:ascii="David" w:cs="David" w:eastAsia="David" w:hAnsi="David"/>
          <w:i/>
          <w:iCs/>
          <w:sz w:val="24"/>
          <w:szCs w:val="24"/>
          <w:rtl w:val="false"/>
        </w:rPr>
        <w:t xml:space="preserve">The Jewish state</w:t>
      </w:r>
      <w:r>
        <w:rPr>
          <w:rFonts w:ascii="David" w:cs="David" w:eastAsia="David" w:hAnsi="David"/>
          <w:sz w:val="24"/>
          <w:szCs w:val="24"/>
          <w:rtl w:val="false"/>
        </w:rPr>
        <w:t xml:space="preserve">. New York: Dover. (Original work published 1896)</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Lazare, B. (1896). </w:t>
      </w:r>
      <w:r>
        <w:rPr>
          <w:rFonts w:ascii="David" w:cs="David" w:eastAsia="David" w:hAnsi="David"/>
          <w:i/>
          <w:iCs/>
          <w:sz w:val="24"/>
          <w:szCs w:val="24"/>
          <w:rtl w:val="false"/>
        </w:rPr>
        <w:t xml:space="preserve">Une erreur judiciaire: La vérité sur l'affaire Dreyfus</w:t>
      </w:r>
      <w:r>
        <w:rPr>
          <w:rFonts w:ascii="David" w:cs="David" w:eastAsia="David" w:hAnsi="David"/>
          <w:sz w:val="24"/>
          <w:szCs w:val="24"/>
          <w:rtl w:val="false"/>
        </w:rPr>
        <w:t xml:space="preserve">. Brussels: Veuve Monnom.</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Stewart, D. (1974). </w:t>
      </w:r>
      <w:r>
        <w:rPr>
          <w:rFonts w:ascii="David" w:cs="David" w:eastAsia="David" w:hAnsi="David"/>
          <w:i/>
          <w:iCs/>
          <w:sz w:val="24"/>
          <w:szCs w:val="24"/>
          <w:rtl w:val="false"/>
        </w:rPr>
        <w:t xml:space="preserve">Theodor Herzl: Artist and politician</w:t>
      </w:r>
      <w:r>
        <w:rPr>
          <w:rFonts w:ascii="David" w:cs="David" w:eastAsia="David" w:hAnsi="David"/>
          <w:sz w:val="24"/>
          <w:szCs w:val="24"/>
          <w:rtl w:val="false"/>
        </w:rPr>
        <w:t xml:space="preserve">. London: Hamish Hamilton.</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p>
      <w:pPr>
        <w:bidi w:val="false"/>
        <w:spacing w:after="240" w:line="240" w:lineRule="auto"/>
        <w:ind w:left="720" w:hanging="720"/>
        <w:jc w:val="left"/>
      </w:pPr>
      <w:r>
        <w:rPr>
          <w:rFonts w:ascii="David" w:cs="David" w:eastAsia="David" w:hAnsi="David"/>
          <w:sz w:val="24"/>
          <w:szCs w:val="24"/>
          <w:rtl w:val="false"/>
        </w:rPr>
        <w:t xml:space="preserve">Wistrich, R. S. (1995). Theodor Herzl: Zionist icon, myth-maker, and social utopian. </w:t>
      </w:r>
      <w:r>
        <w:rPr>
          <w:rFonts w:ascii="David" w:cs="David" w:eastAsia="David" w:hAnsi="David"/>
          <w:i/>
          <w:iCs/>
          <w:sz w:val="24"/>
          <w:szCs w:val="24"/>
          <w:rtl w:val="false"/>
        </w:rPr>
        <w:t xml:space="preserve">Israel Affairs</w:t>
      </w:r>
      <w:r>
        <w:rPr>
          <w:rFonts w:ascii="David" w:cs="David" w:eastAsia="David" w:hAnsi="David"/>
          <w:sz w:val="24"/>
          <w:szCs w:val="24"/>
          <w:rtl w:val="false"/>
        </w:rPr>
        <w:t xml:space="preserve">, 1(3), 1-37.</w:t>
      </w:r>
    </w:p>
    <w:p>
      <w:pPr>
        <w:bidi w:val="false"/>
        <w:spacing w:after="240" w:line="240" w:lineRule="auto"/>
        <w:ind w:left="720" w:hanging="720"/>
        <w:jc w:val="left"/>
      </w:pPr>
      <w:r>
        <w:rPr>
          <w:rFonts w:ascii="David" w:cs="David" w:eastAsia="David" w:hAnsi="David"/>
          <w:sz w:val="24"/>
          <w:szCs w:val="24"/>
          <w:rtl w:val="false"/>
        </w:rPr>
        <w:t xml:space="preserve">Zola, É. (1898, January 13). J'accuse...! Lettre au Président de la République. </w:t>
      </w:r>
      <w:r>
        <w:rPr>
          <w:rFonts w:ascii="David" w:cs="David" w:eastAsia="David" w:hAnsi="David"/>
          <w:i/>
          <w:iCs/>
          <w:sz w:val="24"/>
          <w:szCs w:val="24"/>
          <w:rtl w:val="false"/>
        </w:rPr>
        <w:t xml:space="preserve">L'Aurore</w:t>
      </w:r>
      <w:r>
        <w:rPr>
          <w:rFonts w:ascii="David" w:cs="David" w:eastAsia="David" w:hAnsi="David"/>
          <w:sz w:val="24"/>
          <w:szCs w:val="24"/>
          <w:rtl w:val="false"/>
        </w:rPr>
        <w:t xml:space="preserve">. [Electronic version]. Retrieved from Project Gutenberg, ebook no. 76045: https://www.gutenberg.org/ebooks/76045</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2026-09-19T09:22:46.981Z</dcterms:created>
  <dcterms:modified xsi:type="dcterms:W3CDTF">2026-09-19T09:22:46.981Z</dcterms:modified>
</cp:coreProperties>
</file>

<file path=docProps/custom.xml><?xml version="1.0" encoding="utf-8"?>
<Properties xmlns="http://schemas.openxmlformats.org/officeDocument/2006/custom-properties" xmlns:vt="http://schemas.openxmlformats.org/officeDocument/2006/docPropsVTypes"/>
</file>