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bidi/>
        <w:spacing w:after="120" w:before="120" w:line="360"/>
        <w:jc w:val="center"/>
      </w:pPr>
      <w:r>
        <w:rPr>
          <w:rFonts w:ascii="David" w:cs="David" w:eastAsia="David" w:hAnsi="David"/>
          <w:b/>
          <w:bCs/>
          <w:sz w:val="32"/>
          <w:szCs w:val="32"/>
          <w:rtl/>
        </w:rPr>
        <w:t xml:space="preserve">הקריה האקדמית אונו</w:t>
      </w:r>
    </w:p>
    <w:p>
      <w:pPr>
        <w:bidi/>
        <w:spacing w:after="120" w:before="0" w:line="360"/>
        <w:jc w:val="center"/>
      </w:pPr>
      <w:r>
        <w:rPr>
          <w:rFonts w:ascii="David" w:cs="David" w:eastAsia="David" w:hAnsi="David"/>
          <w:b w:val="false"/>
          <w:bCs w:val="false"/>
          <w:sz w:val="26"/>
          <w:szCs w:val="26"/>
          <w:rtl/>
        </w:rPr>
        <w:t xml:space="preserve">הפקולטה למנהל עסקים, תואר ראשון</w:t>
      </w:r>
    </w:p>
    <w:p>
      <w:pPr>
        <w:bidi/>
        <w:spacing w:after="120" w:before="0" w:line="360"/>
        <w:jc w:val="center"/>
      </w:pPr>
      <w:r>
        <w:rPr>
          <w:rFonts w:ascii="David" w:cs="David" w:eastAsia="David" w:hAnsi="David"/>
          <w:b w:val="false"/>
          <w:bCs w:val="false"/>
          <w:sz w:val="26"/>
          <w:szCs w:val="26"/>
          <w:rtl/>
        </w:rPr>
        <w:t xml:space="preserve">חשבונאות</w:t>
      </w:r>
    </w:p>
    <w:p>
      <w:pPr>
        <w:bidi/>
        <w:spacing w:after="480" w:before="0" w:line="360"/>
        <w:jc w:val="center"/>
      </w:pPr>
      <w:r>
        <w:rPr>
          <w:rFonts w:ascii="David" w:cs="David" w:eastAsia="David" w:hAnsi="David"/>
          <w:b w:val="false"/>
          <w:bCs w:val="false"/>
          <w:sz w:val="26"/>
          <w:szCs w:val="26"/>
          <w:rtl/>
        </w:rPr>
        <w:t xml:space="preserve">שנת הלימודים תשפ"ו, סמסטר 2</w:t>
      </w:r>
    </w:p>
    <w:p>
      <w:pPr>
        <w:bidi/>
        <w:spacing w:after="240" w:before="0" w:line="360"/>
        <w:jc w:val="center"/>
      </w:pPr>
      <w:r>
        <w:rPr>
          <w:rFonts w:ascii="David" w:cs="David" w:eastAsia="David" w:hAnsi="David"/>
          <w:b/>
          <w:bCs/>
          <w:sz w:val="30"/>
          <w:szCs w:val="30"/>
          <w:rtl/>
        </w:rPr>
        <w:t xml:space="preserve">עבודת גמר בקורס: דיני עבודה (קורס חובה)</w:t>
      </w:r>
    </w:p>
    <w:p>
      <w:pPr>
        <w:bidi/>
        <w:spacing w:after="600" w:before="0" w:line="360"/>
        <w:jc w:val="center"/>
      </w:pPr>
      <w:r>
        <w:rPr>
          <w:rFonts w:ascii="David" w:cs="David" w:eastAsia="David" w:hAnsi="David"/>
          <w:b/>
          <w:bCs/>
          <w:sz w:val="28"/>
          <w:szCs w:val="28"/>
          <w:rtl/>
        </w:rPr>
        <w:t xml:space="preserve">נושא העבודה: ניתוח טענות הצדדים בשלושה אירועים ביחסי עבודה</w:t>
      </w:r>
    </w:p>
    <w:p>
      <w:pPr>
        <w:bidi/>
        <w:spacing w:after="120" w:before="0" w:line="360"/>
        <w:jc w:val="center"/>
      </w:pPr>
      <w:r>
        <w:rPr>
          <w:rFonts w:ascii="David" w:cs="David" w:eastAsia="David" w:hAnsi="David"/>
          <w:b w:val="false"/>
          <w:bCs w:val="false"/>
          <w:sz w:val="24"/>
          <w:szCs w:val="24"/>
          <w:rtl/>
        </w:rPr>
        <w:t xml:space="preserve">שם המרצה (המנחה): ד"ר ירון קטן</w:t>
      </w:r>
    </w:p>
    <w:p>
      <w:pPr>
        <w:bidi/>
        <w:spacing w:after="480" w:before="0" w:line="360"/>
        <w:jc w:val="center"/>
      </w:pPr>
      <w:r>
        <w:rPr>
          <w:rFonts w:ascii="David" w:cs="David" w:eastAsia="David" w:hAnsi="David"/>
          <w:b w:val="false"/>
          <w:bCs w:val="false"/>
          <w:sz w:val="24"/>
          <w:szCs w:val="24"/>
          <w:rtl/>
        </w:rPr>
        <w:t xml:space="preserve">מתרגלת: עו"ד סימי יפית דרי</w:t>
      </w:r>
    </w:p>
    <w:p>
      <w:pPr>
        <w:bidi/>
        <w:spacing w:after="120" w:before="0" w:line="360"/>
        <w:jc w:val="center"/>
      </w:pPr>
      <w:r>
        <w:rPr>
          <w:rFonts w:ascii="David" w:cs="David" w:eastAsia="David" w:hAnsi="David"/>
          <w:b w:val="false"/>
          <w:bCs w:val="false"/>
          <w:sz w:val="24"/>
          <w:szCs w:val="24"/>
          <w:rtl/>
        </w:rPr>
        <w:t xml:space="preserve">שם הסטודנט: ____________________</w:t>
      </w:r>
    </w:p>
    <w:p>
      <w:pPr>
        <w:bidi/>
        <w:spacing w:after="480" w:before="0" w:line="360"/>
        <w:jc w:val="center"/>
      </w:pPr>
      <w:r>
        <w:rPr>
          <w:rFonts w:ascii="David" w:cs="David" w:eastAsia="David" w:hAnsi="David"/>
          <w:b w:val="false"/>
          <w:bCs w:val="false"/>
          <w:sz w:val="24"/>
          <w:szCs w:val="24"/>
          <w:rtl/>
        </w:rPr>
        <w:t xml:space="preserve">ת"ז: ____________________</w:t>
      </w:r>
    </w:p>
    <w:p>
      <w:pPr>
        <w:bidi/>
        <w:spacing w:after="120" w:before="0" w:line="360"/>
        <w:jc w:val="center"/>
      </w:pPr>
      <w:r>
        <w:rPr>
          <w:rFonts w:ascii="David" w:cs="David" w:eastAsia="David" w:hAnsi="David"/>
          <w:b w:val="false"/>
          <w:bCs w:val="false"/>
          <w:sz w:val="24"/>
          <w:szCs w:val="24"/>
          <w:rtl/>
        </w:rPr>
        <w:t xml:space="preserve">מועד הגשה: אלול תשפ"ו, אוגוסט 2026</w:t>
      </w:r>
    </w:p>
    <w:p>
      <w:r>
        <w:br w:type="page"/>
      </w:r>
    </w:p>
    <w:p>
      <w:pPr>
        <w:bidi/>
        <w:spacing w:after="160" w:before="0" w:line="360"/>
        <w:jc w:val="right"/>
      </w:pPr>
      <w:r>
        <w:rPr>
          <w:rFonts w:ascii="David" w:cs="David" w:eastAsia="David" w:hAnsi="David"/>
          <w:b/>
          <w:bCs/>
          <w:sz w:val="28"/>
          <w:szCs w:val="28"/>
          <w:u w:val="single"/>
          <w:rtl/>
        </w:rPr>
        <w:t xml:space="preserve">אירוע 1: העסקתו של צבי במסעדה</w:t>
      </w:r>
    </w:p>
    <w:p>
      <w:pPr>
        <w:bidi/>
        <w:spacing w:after="160" w:before="240" w:line="360"/>
        <w:jc w:val="right"/>
      </w:pPr>
      <w:r>
        <w:rPr>
          <w:rFonts w:ascii="David" w:cs="David" w:eastAsia="David" w:hAnsi="David"/>
          <w:b/>
          <w:bCs/>
          <w:sz w:val="26"/>
          <w:szCs w:val="26"/>
          <w:rtl/>
        </w:rPr>
        <w:t xml:space="preserve">א. דרך ההעסקה</w:t>
      </w:r>
    </w:p>
    <w:p>
      <w:pPr>
        <w:bidi/>
        <w:spacing w:after="120" w:line="360"/>
        <w:jc w:val="both"/>
      </w:pPr>
      <w:r>
        <w:rPr>
          <w:rFonts w:ascii="David" w:cs="David" w:eastAsia="David" w:hAnsi="David"/>
          <w:b/>
          <w:bCs/>
          <w:sz w:val="24"/>
          <w:szCs w:val="24"/>
          <w:rtl/>
        </w:rPr>
        <w:t xml:space="preserve">טענות צבי: </w:t>
      </w:r>
      <w:r>
        <w:rPr>
          <w:rFonts w:ascii="David" w:cs="David" w:eastAsia="David" w:hAnsi="David"/>
          <w:b w:val="false"/>
          <w:bCs w:val="false"/>
          <w:sz w:val="24"/>
          <w:szCs w:val="24"/>
          <w:rtl/>
        </w:rPr>
        <w:t xml:space="preserve">חוק שעות עבודה ומנוחה, התשי"א-1951, הוא חוק מגן קוגנטי הקובע את תחום יום העבודה ואת החובה לשלם גמול שעות נוספות: 125% בעד השעתיים הנוספות הראשונות ו-150% מהשעה השלישית ואילך. ההסדר שנכפה עליו, "השלמת שעות" במשמרות של 8, 12 ואף 16 שעות ביום, אינו השלמה אלא העסקה בשעות נוספות שלא שולם בעדה גמול כלשהו. משמרת של 16 שעות אף חורגת מהמותר לפי ההיתר הכללי להעסקה בשעות נוספות, המגביל את יום העבודה ל-12 שעות לכל היותר. בהעסקה שעתית במשרה חלקית אין כלל בסיס משפטי לחיוב "להשליש" שעות שבהן נעדר: בעד שעות שלא עבד פשוט לא שולם לו שכר, ואין הוא חב אותן למעסיק. מאחר שמדובר בזכויות קוגנטיות, הסכמתו להסדר אינה מעלה ואינה מורידה, שכן עובד אינו יכול לוותר על זכות המוקנית לו בחוק מגן, וויתור כזה בטל.</w:t>
      </w:r>
    </w:p>
    <w:p>
      <w:pPr>
        <w:bidi/>
        <w:spacing w:after="120" w:line="360"/>
        <w:jc w:val="both"/>
      </w:pPr>
      <w:r>
        <w:rPr>
          <w:rFonts w:ascii="David" w:cs="David" w:eastAsia="David" w:hAnsi="David"/>
          <w:b/>
          <w:bCs/>
          <w:sz w:val="24"/>
          <w:szCs w:val="24"/>
          <w:rtl/>
        </w:rPr>
        <w:t xml:space="preserve">טענות בעל המסעדה: </w:t>
      </w:r>
      <w:r>
        <w:rPr>
          <w:rFonts w:ascii="David" w:cs="David" w:eastAsia="David" w:hAnsi="David"/>
          <w:b w:val="false"/>
          <w:bCs w:val="false"/>
          <w:sz w:val="24"/>
          <w:szCs w:val="24"/>
          <w:rtl/>
        </w:rPr>
        <w:t xml:space="preserve">ההסדר נוצר לבקשת צבי ולנוחותו, כדי לאפשר לו לשלב לימודים ועבודה, וההשלמות נעשו בהסכמה מלאה ובתיאום מראש. עוד יטען כי חישוב השעות נעשה במסגרת שבועית, כך שסך השעות לא עלה על היקף המשרה המוסכם, וכי צבי נהג בחוסר תום לב: הוא נהנה מן הגמישות לאורך כל התקופה, ורק לאחר פיטוריו נזכר להעלות טענות נגד הסדר שהוא עצמו ביקש. מנגד, כוחן של טענות אלה מוגבל נוכח אופיים הקוגנטי של חוקי המגן, ושאלת תום הלב תשפיע לכל היותר על הסעד.</w:t>
      </w:r>
    </w:p>
    <w:p>
      <w:pPr>
        <w:bidi/>
        <w:spacing w:after="160" w:before="240" w:line="360"/>
        <w:jc w:val="right"/>
      </w:pPr>
      <w:r>
        <w:rPr>
          <w:rFonts w:ascii="David" w:cs="David" w:eastAsia="David" w:hAnsi="David"/>
          <w:b/>
          <w:bCs/>
          <w:sz w:val="26"/>
          <w:szCs w:val="26"/>
          <w:rtl/>
        </w:rPr>
        <w:t xml:space="preserve">ב. השכר</w:t>
      </w:r>
    </w:p>
    <w:p>
      <w:pPr>
        <w:bidi/>
        <w:spacing w:after="120" w:line="360"/>
        <w:jc w:val="both"/>
      </w:pPr>
      <w:r>
        <w:rPr>
          <w:rFonts w:ascii="David" w:cs="David" w:eastAsia="David" w:hAnsi="David"/>
          <w:b/>
          <w:bCs/>
          <w:sz w:val="24"/>
          <w:szCs w:val="24"/>
          <w:rtl/>
        </w:rPr>
        <w:t xml:space="preserve">טענות צבי: </w:t>
      </w:r>
      <w:r>
        <w:rPr>
          <w:rFonts w:ascii="David" w:cs="David" w:eastAsia="David" w:hAnsi="David"/>
          <w:b w:val="false"/>
          <w:bCs w:val="false"/>
          <w:sz w:val="24"/>
          <w:szCs w:val="24"/>
          <w:rtl/>
        </w:rPr>
        <w:t xml:space="preserve">שכרו נמוך משכר המינימום, בניגוד לחוק שכר מינימום, התשמ"ז-1987, שאף הוא חוק קוגנטי שאין להתנות עליו, והוא זכאי להפרשי שכר ולפיצוי בגין הלנת שכר מכוח חוק הגנת השכר, התשי"ח-1958. אשר לטיפים, לפי ההלכה שנפסקה בעניין קיס (ע"ע (ארצי) 44510-04-13, 2018), תשר בענף המסעדנות הוא הכנסה של בית העסק המשמשת לתשלום שכר עבודה, גם כאשר הוא ניתן במזומן ישירות למלצר. משמעות הדבר כפולה: הטיפים נחשבים שכר עבודה לכל דבר, ולכן על בסיסם יש לחשב את מלוא הזכויות הסוציאליות, ובכללן ההפרשות לפנסיה. דרישתו כי ההפרשות יחושבו גם על התשר עולה אפוא בקנה אחד עם הדין, ופיטוריו בשל דרישה זו אינם יכולים להכשיר את ההפרה.</w:t>
      </w:r>
    </w:p>
    <w:p>
      <w:pPr>
        <w:bidi/>
        <w:spacing w:after="120" w:line="360"/>
        <w:jc w:val="both"/>
      </w:pPr>
      <w:r>
        <w:rPr>
          <w:rFonts w:ascii="David" w:cs="David" w:eastAsia="David" w:hAnsi="David"/>
          <w:b/>
          <w:bCs/>
          <w:sz w:val="24"/>
          <w:szCs w:val="24"/>
          <w:rtl/>
        </w:rPr>
        <w:t xml:space="preserve">טענות בעל המסעדה: </w:t>
      </w:r>
      <w:r>
        <w:rPr>
          <w:rFonts w:ascii="David" w:cs="David" w:eastAsia="David" w:hAnsi="David"/>
          <w:b w:val="false"/>
          <w:bCs w:val="false"/>
          <w:sz w:val="24"/>
          <w:szCs w:val="24"/>
          <w:rtl/>
        </w:rPr>
        <w:t xml:space="preserve">הטיפים שנטל צבי לכיסו הם חלק משכרו, ובצירופם עלה שכרו בפועל על שכר המינימום, כך שלא הופר החוק. לחלופין יטען כי התשר הוא תשלום וולונטרי מהלקוחות שאינו "שכר" ששילם המעסיק, וכי צבי נטל לעצמו כספים השייכים לקופת המסעדה בלי ידיעת ההנהלה. אלא ששתי הטענות אינן מתיישבות זו עם זו, וממילא לפי הלכת קיס מעסיק המבקש להיבנות מן התשר כרכיב שכר נושא גם בעלויות הסוציאליות הנגזרות ממנו.</w:t>
      </w:r>
    </w:p>
    <w:p>
      <w:pPr>
        <w:bidi/>
        <w:spacing w:after="160" w:before="240" w:line="360"/>
        <w:jc w:val="right"/>
      </w:pPr>
      <w:r>
        <w:rPr>
          <w:rFonts w:ascii="David" w:cs="David" w:eastAsia="David" w:hAnsi="David"/>
          <w:b/>
          <w:bCs/>
          <w:sz w:val="26"/>
          <w:szCs w:val="26"/>
          <w:rtl/>
        </w:rPr>
        <w:t xml:space="preserve">ג. הפיטורים</w:t>
      </w:r>
    </w:p>
    <w:p>
      <w:pPr>
        <w:bidi/>
        <w:spacing w:after="120" w:line="360"/>
        <w:jc w:val="both"/>
      </w:pPr>
      <w:r>
        <w:rPr>
          <w:rFonts w:ascii="David" w:cs="David" w:eastAsia="David" w:hAnsi="David"/>
          <w:b/>
          <w:bCs/>
          <w:sz w:val="24"/>
          <w:szCs w:val="24"/>
          <w:rtl/>
        </w:rPr>
        <w:t xml:space="preserve">טענות צבי: </w:t>
      </w:r>
      <w:r>
        <w:rPr>
          <w:rFonts w:ascii="David" w:cs="David" w:eastAsia="David" w:hAnsi="David"/>
          <w:b w:val="false"/>
          <w:bCs w:val="false"/>
          <w:sz w:val="24"/>
          <w:szCs w:val="24"/>
          <w:rtl/>
        </w:rPr>
        <w:t xml:space="preserve">הוא פוטר לאלתר בלא שימוע, בניגוד לחובה שנקבעה בפסיקת בתי הדין לעבודה כנגזרת של חובת תום הלב ביחסי עבודה, המחייבת מתן הזדמנות אמיתית לעובד להשמיע את טענותיו בטרם החלטה, ובלא הודעה מוקדמת לפי חוק הודעה מוקדמת לפיטורים ולהתפטרות, התשס"א-2001. חמור מכך, העילה האמיתית לפיטורים היא עמידתו על זכות סוציאלית, הפרשות פנסיוניות על בסיס התשר. פיטורי עובד בשל דרישת זכויות מגן הם פיטורים שלא כדין ובחוסר תום לב, המזכים בפיצוי מוגבר מעבר לפיצויי הפיטורים.</w:t>
      </w:r>
    </w:p>
    <w:p>
      <w:pPr>
        <w:bidi/>
        <w:spacing w:after="120" w:line="360"/>
        <w:jc w:val="both"/>
      </w:pPr>
      <w:r>
        <w:rPr>
          <w:rFonts w:ascii="David" w:cs="David" w:eastAsia="David" w:hAnsi="David"/>
          <w:b/>
          <w:bCs/>
          <w:sz w:val="24"/>
          <w:szCs w:val="24"/>
          <w:rtl/>
        </w:rPr>
        <w:t xml:space="preserve">טענות בעל המסעדה: </w:t>
      </w:r>
      <w:r>
        <w:rPr>
          <w:rFonts w:ascii="David" w:cs="David" w:eastAsia="David" w:hAnsi="David"/>
          <w:b w:val="false"/>
          <w:bCs w:val="false"/>
          <w:sz w:val="24"/>
          <w:szCs w:val="24"/>
          <w:rtl/>
        </w:rPr>
        <w:t xml:space="preserve">סיום העסקה מצוי בגדר הפררוגטיבה הניהולית של המעסיק. עילת הפיטורים אינה הדרישה הפנסיונית אלא משבר אמון חמור: התברר כי צבי נוטל לכיסו כספי תשר השייכים לעסק, ואף התנה את השבתם בתנאים. מעילה באמון מצדיקה לשיטתו פיטורים מיידיים, ואף עשויה לשלול פיצויי פיטורים והודעה מוקדמת לפי סעיפים 16-17 לחוק פיצויי פיטורים, התשכ"ג-1963. עם זאת, גם פיטורים בעילת משמעת אינם פוטרים את המעסיק מחובת השימוע, וכאן תעמוד לו לרועץ מיידיות ההחלטה.</w:t>
      </w:r>
    </w:p>
    <w:p>
      <w:r>
        <w:br w:type="page"/>
      </w:r>
    </w:p>
    <w:p>
      <w:pPr>
        <w:bidi/>
        <w:spacing w:after="160" w:before="0" w:line="360"/>
        <w:jc w:val="right"/>
      </w:pPr>
      <w:r>
        <w:rPr>
          <w:rFonts w:ascii="David" w:cs="David" w:eastAsia="David" w:hAnsi="David"/>
          <w:b/>
          <w:bCs/>
          <w:sz w:val="28"/>
          <w:szCs w:val="28"/>
          <w:u w:val="single"/>
          <w:rtl/>
        </w:rPr>
        <w:t xml:space="preserve">אירוע 2: ג'ון, שיבוץ הערב והאופניים החשמליות</w:t>
      </w:r>
    </w:p>
    <w:p>
      <w:pPr>
        <w:bidi/>
        <w:spacing w:after="160" w:before="240" w:line="360"/>
        <w:jc w:val="right"/>
      </w:pPr>
      <w:r>
        <w:rPr>
          <w:rFonts w:ascii="David" w:cs="David" w:eastAsia="David" w:hAnsi="David"/>
          <w:b/>
          <w:bCs/>
          <w:sz w:val="26"/>
          <w:szCs w:val="26"/>
          <w:rtl/>
        </w:rPr>
        <w:t xml:space="preserve">א. שיבוץ שעות העבודה</w:t>
      </w:r>
    </w:p>
    <w:p>
      <w:pPr>
        <w:bidi/>
        <w:spacing w:after="120" w:line="360"/>
        <w:jc w:val="both"/>
      </w:pPr>
      <w:r>
        <w:rPr>
          <w:rFonts w:ascii="David" w:cs="David" w:eastAsia="David" w:hAnsi="David"/>
          <w:b/>
          <w:bCs/>
          <w:sz w:val="24"/>
          <w:szCs w:val="24"/>
          <w:rtl/>
        </w:rPr>
        <w:t xml:space="preserve">טענות ג'ון: </w:t>
      </w:r>
      <w:r>
        <w:rPr>
          <w:rFonts w:ascii="David" w:cs="David" w:eastAsia="David" w:hAnsi="David"/>
          <w:b w:val="false"/>
          <w:bCs w:val="false"/>
          <w:sz w:val="24"/>
          <w:szCs w:val="24"/>
          <w:rtl/>
        </w:rPr>
        <w:t xml:space="preserve">המעבר להוראה בתוכנית הערב נעשה בהסכמה, בעידוד המנהל ובתמריץ שהעניק, ולכן הפך תנאי מתנאי חוזה העבודה האישי שלו. לפי הלכת מילפלדר (בג"ץ 239/83 מילפלדר נ' בית הדין הארצי לעבודה), צד לחוזה עבודה אינו רשאי לשנות באופן חד-צדדי תנאי מתנאיו, ושינוי כזה טעון הסכמה. ההחזרה המיידית לשעות הבוקר נעשתה בלא התראה, בלא בירור ובלא שנשמעה עמדתו, בניגוד לחובת תום הלב המגבילה את הפעלת הפררוגטיבה הניהולית (דב"ע נד/3-86 גולן נ' אי.אל.די). הוא אף שינה את מצבו לרעה בהסתמך על השיבוץ ומכר את רכבו.</w:t>
      </w:r>
    </w:p>
    <w:p>
      <w:pPr>
        <w:bidi/>
        <w:spacing w:after="120" w:line="360"/>
        <w:jc w:val="both"/>
      </w:pPr>
      <w:r>
        <w:rPr>
          <w:rFonts w:ascii="David" w:cs="David" w:eastAsia="David" w:hAnsi="David"/>
          <w:b/>
          <w:bCs/>
          <w:sz w:val="24"/>
          <w:szCs w:val="24"/>
          <w:rtl/>
        </w:rPr>
        <w:t xml:space="preserve">טענות המנהל: </w:t>
      </w:r>
      <w:r>
        <w:rPr>
          <w:rFonts w:ascii="David" w:cs="David" w:eastAsia="David" w:hAnsi="David"/>
          <w:b w:val="false"/>
          <w:bCs w:val="false"/>
          <w:sz w:val="24"/>
          <w:szCs w:val="24"/>
          <w:rtl/>
        </w:rPr>
        <w:t xml:space="preserve">שיבוץ מורים במערכת השעות מצוי בליבת הפררוגטיבה הניהולית של מנהל בית ספר, והיא שנועדה לאפשר לו לנהל את המוסד באופן תקין. השיבוץ לתוכנית הערב ניתן על יסוד ההנחה שהמורה יגיע אליה רענן, ואילו ג'ון הגיע עייף עד כדי חוסר יכולת לעבוד, משום שבחר לעבוד בשליחויות במהלך היום. בכך סיכל את תכלית ההסדר והפר את חובות תום הלב והנאמנות שעובד חב למעסיקו. ההחזרה לבוקר אינה שינוי מהותי אלא השבת המצב לקדמותו, לאותו תפקיד ולאותן שעות שבהן עבד שנתיים, והיא אמצעי סביר ומידתי בנסיבות שנוצרו.</w:t>
      </w:r>
    </w:p>
    <w:p>
      <w:pPr>
        <w:bidi/>
        <w:spacing w:after="160" w:before="240" w:line="360"/>
        <w:jc w:val="right"/>
      </w:pPr>
      <w:r>
        <w:rPr>
          <w:rFonts w:ascii="David" w:cs="David" w:eastAsia="David" w:hAnsi="David"/>
          <w:b/>
          <w:bCs/>
          <w:sz w:val="26"/>
          <w:szCs w:val="26"/>
          <w:rtl/>
        </w:rPr>
        <w:t xml:space="preserve">ב. האופניים</w:t>
      </w:r>
    </w:p>
    <w:p>
      <w:pPr>
        <w:bidi/>
        <w:spacing w:after="120" w:line="360"/>
        <w:jc w:val="both"/>
      </w:pPr>
      <w:r>
        <w:rPr>
          <w:rFonts w:ascii="David" w:cs="David" w:eastAsia="David" w:hAnsi="David"/>
          <w:b/>
          <w:bCs/>
          <w:sz w:val="24"/>
          <w:szCs w:val="24"/>
          <w:rtl/>
        </w:rPr>
        <w:t xml:space="preserve">טענות ג'ון: </w:t>
      </w:r>
      <w:r>
        <w:rPr>
          <w:rFonts w:ascii="David" w:cs="David" w:eastAsia="David" w:hAnsi="David"/>
          <w:b w:val="false"/>
          <w:bCs w:val="false"/>
          <w:sz w:val="24"/>
          <w:szCs w:val="24"/>
          <w:rtl/>
        </w:rPr>
        <w:t xml:space="preserve">האופניים הוצעו והוענקו כ"מתנה", בלא תנאי מפורש להשבתן, ומתנה שהוקנתה אינה ניתנת לדרישה בחזרה. לכל הפחות מדובר בהטבה נלווית שהפכה חלק מתנאי עבודתו, ושלילתה היא שינוי חד-צדדי נוסף. הוא הסתמך על ההטבה ומכר את רכבו, כך שההשבה תותיר אותו בלא אמצעי תחבורה. בנוסף, בדיקת נתוני מכשיר המעקב פגעה בפרטיותו: לפי הלכת איסקוב (ע"ע (ארצי) 90/08 איסקוב ענבר נ' מדינת ישראל), מעקב טכנולוגי אחר עובד כפוף לעקרונות הלגיטימיות, צמידות המטרה, המידתיות, השקיפות וההסכמה מדעת. המכשיר הותקן למטרה מוגדרת, הגנה מפני גניבה, והמנהל עשה בו שימוש למטרה אחרת לגמרי, התחקות אחר תנועותיו בזמנו הפרטי ומחוץ למקום העבודה, בניגוד לחוק הגנת הפרטיות, התשמ"א-1981.</w:t>
      </w:r>
    </w:p>
    <w:p>
      <w:pPr>
        <w:bidi/>
        <w:spacing w:after="120" w:line="360"/>
        <w:jc w:val="both"/>
      </w:pPr>
      <w:r>
        <w:rPr>
          <w:rFonts w:ascii="David" w:cs="David" w:eastAsia="David" w:hAnsi="David"/>
          <w:b/>
          <w:bCs/>
          <w:sz w:val="24"/>
          <w:szCs w:val="24"/>
          <w:rtl/>
        </w:rPr>
        <w:t xml:space="preserve">טענות המנהל: </w:t>
      </w:r>
      <w:r>
        <w:rPr>
          <w:rFonts w:ascii="David" w:cs="David" w:eastAsia="David" w:hAnsi="David"/>
          <w:b w:val="false"/>
          <w:bCs w:val="false"/>
          <w:sz w:val="24"/>
          <w:szCs w:val="24"/>
          <w:rtl/>
        </w:rPr>
        <w:t xml:space="preserve">האופניים נרכשו מכספי בית הספר כתמריץ הכרוך בהוראה בתוכנית הערב, ומשפקע השיבוץ נשמט הבסיס להטבה; לחלופין מדובר בכלי שנועד לאפשר הגעה לעבודת הערב ולא במתנה אישית מוחלטת. אשר לפרטיות, המכשיר היה גלוי וידוע לג'ון, הותקן להגנה על רכוש שמומן בידי המעסיק, והבדיקה נעשתה באופן חד-פעמי ורק לאחר שהתעורר חשד קונקרטי, תלונות חוזרות של ג'ון על עייפות המונעת ממנו לעבוד. תכלית הבדיקה לגיטימית והיקפה מידתי, והיא חשפה עבודה נוספת הפוגעת ישירות בתפקודו, עניין מובהק של המעסיק.</w:t>
      </w:r>
    </w:p>
    <w:p>
      <w:pPr>
        <w:bidi/>
        <w:spacing w:after="160" w:before="240" w:line="360"/>
        <w:jc w:val="right"/>
      </w:pPr>
      <w:r>
        <w:rPr>
          <w:rFonts w:ascii="David" w:cs="David" w:eastAsia="David" w:hAnsi="David"/>
          <w:b/>
          <w:bCs/>
          <w:sz w:val="26"/>
          <w:szCs w:val="26"/>
          <w:rtl/>
        </w:rPr>
        <w:t xml:space="preserve">ג. ההתפטרות</w:t>
      </w:r>
    </w:p>
    <w:p>
      <w:pPr>
        <w:bidi/>
        <w:spacing w:after="120" w:line="360"/>
        <w:jc w:val="both"/>
      </w:pPr>
      <w:r>
        <w:rPr>
          <w:rFonts w:ascii="David" w:cs="David" w:eastAsia="David" w:hAnsi="David"/>
          <w:b/>
          <w:bCs/>
          <w:sz w:val="24"/>
          <w:szCs w:val="24"/>
          <w:rtl/>
        </w:rPr>
        <w:t xml:space="preserve">טענות ג'ון: </w:t>
      </w:r>
      <w:r>
        <w:rPr>
          <w:rFonts w:ascii="David" w:cs="David" w:eastAsia="David" w:hAnsi="David"/>
          <w:b w:val="false"/>
          <w:bCs w:val="false"/>
          <w:sz w:val="24"/>
          <w:szCs w:val="24"/>
          <w:rtl/>
        </w:rPr>
        <w:t xml:space="preserve">התפטרותו היא התפטרות בדין מפוטר לפי סעיף 11(א) לחוק פיצויי פיטורים, התשכ"ג-1963: חלה הרעה מוחשית בתנאי עבודתו, שינוי כפוי של שעות העבודה ושלילת האופניים, ולמצער נוצרו נסיבות שביחסי עבודה שבהן אין לדרוש ממנו להמשיך בעבודתו. משכך הוא זכאי לפיצויי פיטורים כאילו פוטר.</w:t>
      </w:r>
    </w:p>
    <w:p>
      <w:pPr>
        <w:bidi/>
        <w:spacing w:after="120" w:line="360"/>
        <w:jc w:val="both"/>
      </w:pPr>
      <w:r>
        <w:rPr>
          <w:rFonts w:ascii="David" w:cs="David" w:eastAsia="David" w:hAnsi="David"/>
          <w:b/>
          <w:bCs/>
          <w:sz w:val="24"/>
          <w:szCs w:val="24"/>
          <w:rtl/>
        </w:rPr>
        <w:t xml:space="preserve">טענות המנהל: </w:t>
      </w:r>
      <w:r>
        <w:rPr>
          <w:rFonts w:ascii="David" w:cs="David" w:eastAsia="David" w:hAnsi="David"/>
          <w:b w:val="false"/>
          <w:bCs w:val="false"/>
          <w:sz w:val="24"/>
          <w:szCs w:val="24"/>
          <w:rtl/>
        </w:rPr>
        <w:t xml:space="preserve">ג'ון התפטר מרצונו החופשי. הפסיקה מתנה התפטרות בדין מפוטר בכך שהעובד יעמיד את המעסיק על כוונתו ויקנה לו הזדמנות סבירה לתקן את ההרעה, ואילו ג'ון התפטר מיידית ובלא כל התראה. אין גם הרעה מוחשית, שהרי הוא הוחזר בדיוק לתנאים שבהם עבד שנתיים בלא כל טענה. התפטרות ללא הודעה מוקדמת אף מקנה למעסיק זכות לתמורת הודעה מוקדמת מכוח חוק הודעה מוקדמת לפיטורים ולהתפטרות, התשס"א-2001.</w:t>
      </w:r>
    </w:p>
    <w:p>
      <w:r>
        <w:br w:type="page"/>
      </w:r>
    </w:p>
    <w:p>
      <w:pPr>
        <w:bidi/>
        <w:spacing w:after="160" w:before="0" w:line="360"/>
        <w:jc w:val="right"/>
      </w:pPr>
      <w:r>
        <w:rPr>
          <w:rFonts w:ascii="David" w:cs="David" w:eastAsia="David" w:hAnsi="David"/>
          <w:b/>
          <w:bCs/>
          <w:sz w:val="28"/>
          <w:szCs w:val="28"/>
          <w:u w:val="single"/>
          <w:rtl/>
        </w:rPr>
        <w:t xml:space="preserve">אירוע 3: ורד, נותנת שירותי אבטחת מידע</w:t>
      </w:r>
    </w:p>
    <w:p>
      <w:pPr>
        <w:bidi/>
        <w:spacing w:after="160" w:before="240" w:line="360"/>
        <w:jc w:val="right"/>
      </w:pPr>
      <w:r>
        <w:rPr>
          <w:rFonts w:ascii="David" w:cs="David" w:eastAsia="David" w:hAnsi="David"/>
          <w:b/>
          <w:bCs/>
          <w:sz w:val="26"/>
          <w:szCs w:val="26"/>
          <w:rtl/>
        </w:rPr>
        <w:t xml:space="preserve">א. טענות ורד נגד החלטת החברה וטענות החברה</w:t>
      </w:r>
    </w:p>
    <w:p>
      <w:pPr>
        <w:bidi/>
        <w:spacing w:after="120" w:line="360"/>
        <w:jc w:val="both"/>
      </w:pPr>
      <w:r>
        <w:rPr>
          <w:rFonts w:ascii="David" w:cs="David" w:eastAsia="David" w:hAnsi="David"/>
          <w:b/>
          <w:bCs/>
          <w:sz w:val="24"/>
          <w:szCs w:val="24"/>
          <w:rtl/>
        </w:rPr>
        <w:t xml:space="preserve">טענות ורד: </w:t>
      </w:r>
      <w:r>
        <w:rPr>
          <w:rFonts w:ascii="David" w:cs="David" w:eastAsia="David" w:hAnsi="David"/>
          <w:b w:val="false"/>
          <w:bCs w:val="false"/>
          <w:sz w:val="24"/>
          <w:szCs w:val="24"/>
          <w:rtl/>
        </w:rPr>
        <w:t xml:space="preserve">מעמדו של אדם כ"עובד" הוא עניין שבסטטוס, הנקבע לפי מהות היחסים בפועל ולא לפי הכינוי שבחרו הצדדים או צורת התשלום. לפי המבחן המעורב שבמרכזו מבחן ההשתלבות, יחסיה עם חברת "מחשוב" הם יחסי עובד-מעסיק: בפן החיובי היא השתלבה במערך הרגיל של החברה, עבדה בחדר ייעודי השמור לה ובמחשבי החברה, ביום קבוע בשבוע, עשר שעות ביום, ברציפות במשך עשר שנים, והחברה אף עמדה על כך שהשירות יינתן על ידה באופן אישי ולא על ידי מחליף. התמורה ששולמה לה כללה במפורש רכיבי נסיעות וימי חופשה, כמקובל אצל עובדים שכירים. בפן השלילי, ביחסיה עם החברה היא לא ניהלה עסק עצמאי הנושא סיכוני רווח והפסד: התמורה קבועה, הציוד והחדר של החברה. עבודתה אצל לקוחות נוספים אינה שוללת מעמד עובד, שכן אדם יכול להיות עובד של כמה מעסיקים במקביל. אם היא עובדת, ההודעה על הפסקה מיידית היא פיטורים שלא כדין: בלא שימוע, בלא הודעה מוקדמת ובלא פיצויי פיטורים, והיא זכאית גם לזכויות סוציאליות רטרואקטיביות, ובהן הפרשות פנסיוניות, פדיון חופשה ודמי הבראה.</w:t>
      </w:r>
    </w:p>
    <w:p>
      <w:pPr>
        <w:bidi/>
        <w:spacing w:after="120" w:line="360"/>
        <w:jc w:val="both"/>
      </w:pPr>
      <w:r>
        <w:rPr>
          <w:rFonts w:ascii="David" w:cs="David" w:eastAsia="David" w:hAnsi="David"/>
          <w:b/>
          <w:bCs/>
          <w:sz w:val="24"/>
          <w:szCs w:val="24"/>
          <w:rtl/>
        </w:rPr>
        <w:t xml:space="preserve">טענות החברה: </w:t>
      </w:r>
      <w:r>
        <w:rPr>
          <w:rFonts w:ascii="David" w:cs="David" w:eastAsia="David" w:hAnsi="David"/>
          <w:b w:val="false"/>
          <w:bCs w:val="false"/>
          <w:sz w:val="24"/>
          <w:szCs w:val="24"/>
          <w:rtl/>
        </w:rPr>
        <w:t xml:space="preserve">ורד עצמאית מובהקת: היא הציגה את עצמה כך במשך עשור, הוציאה חשבוניות מס, נתנה שירות במקביל לחמישה עסקים שונים, וניהלה מולה החברה משא ומתן מסחרי שבמסגרתו אף איימה להפסיק את השירות אם לא יועלה מחירו, התנהלות של ספק ולא של עובדת. התמורה, 100 ש"ח לשעה הכוללת נסיעות וחופשה, גבוהה במידה ניכרת מהשכר שהיה משולם לשכירה באותו תפקיד, והצדדים ראו בה תמורה כוללת וסופית. העלאת טענת קיומם של יחסי עבודה רק לאחר סיום ההתקשרות נגועה בחוסר תום לב. לחלופין תטען החברה כי אם תוכר ורד כעובדת, יש לחשב את זכויותיה לפי שכר חלופי של שכירה ולקזז את התמורה העודפת ששולמה לה כעצמאית, ברוח שנפסק בעניין רופא (ע"ע 110/10 רפי רופא נ' מרקם סוכנות לביטוח בע"מ). מכל מקום, התקשרות מסחרית ניתנת להפסקה, בכפוף לחובת תום הלב ולמתן הודעה סבירה בלבד.</w:t>
      </w:r>
    </w:p>
    <w:p>
      <w:pPr>
        <w:bidi/>
        <w:spacing w:after="160" w:before="240" w:line="360"/>
        <w:jc w:val="right"/>
      </w:pPr>
      <w:r>
        <w:rPr>
          <w:rFonts w:ascii="David" w:cs="David" w:eastAsia="David" w:hAnsi="David"/>
          <w:b/>
          <w:bCs/>
          <w:sz w:val="26"/>
          <w:szCs w:val="26"/>
          <w:rtl/>
        </w:rPr>
        <w:t xml:space="preserve">ב. כיצד היה על החברה לנהוג, בהנחה שוורד צודקת</w:t>
      </w:r>
    </w:p>
    <w:p>
      <w:pPr>
        <w:bidi/>
        <w:spacing w:after="120" w:line="360"/>
        <w:jc w:val="both"/>
      </w:pPr>
      <w:r>
        <w:rPr>
          <w:rFonts w:ascii="David" w:cs="David" w:eastAsia="David" w:hAnsi="David"/>
          <w:b w:val="false"/>
          <w:bCs w:val="false"/>
          <w:sz w:val="24"/>
          <w:szCs w:val="24"/>
          <w:rtl/>
        </w:rPr>
        <w:t xml:space="preserve">אם ורד אכן עובדת של החברה, סיום ההעסקה היה צריך להיעשות אחרת מן היסוד. ראשית, היה על החברה לזמן אותה לשימוע בלב פתוח ובנפש חפצה, להציג לפניה מראש את הטעמים הנשקלים, עלות ההתקשרות וקיומה של חלופה זולה, ולשקול ברצינות את תגובתה בטרם החלטה. שנית, היה עליה לתת הודעה מוקדמת בכתב כנדרש בחוק הודעה מוקדמת לפיטורים ולהתפטרות, התשס"א-2001, שלאחר ותק של עשר שנים עומדת על חודש ימים, או לשלם תמורתה. שלישית, עם סיום ההעסקה קמה חובה לשלם פיצויי פיטורים לפי חוק פיצויי פיטורים, התשכ"ג-1963, על בסיס השכר הקובע והוותק שנצבר, ולהשלים את זכויות העבר: הפרשות פנסיוניות מכוח צו ההרחבה לביטוח פנסיוני מקיף במשק, פדיון חופשה שנתית לפי חוק חופשה שנתית, התשי"א-1951, ודמי הבראה. לבסוף, חילופי המנהלים אינם משנים דבר, שכן החובות מוטלות על החברה עצמה, וסיום יחסי עבודה בני עשור מחייב דרך מקובלת, הגינות ותום לב, ולא הודעה טלפונית על ניתוק מיידי.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5ce4fdf76b58d4cf0096412ef177958ae578a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2026-08-27T07:29:32.745Z</dcterms:created>
  <dcterms:modified xsi:type="dcterms:W3CDTF">2026-08-27T07:29:32.759Z</dcterms:modified>
</cp:coreProperties>
</file>

<file path=docProps/custom.xml><?xml version="1.0" encoding="utf-8"?>
<Properties xmlns="http://schemas.openxmlformats.org/officeDocument/2006/custom-properties" xmlns:vt="http://schemas.openxmlformats.org/officeDocument/2006/docPropsVTypes"/>
</file>