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00"/>
        <w:jc w:val="center"/>
      </w:pPr>
      <w:r>
        <w:drawing>
          <wp:inline xmlns:a="http://schemas.openxmlformats.org/drawingml/2006/main" xmlns:pic="http://schemas.openxmlformats.org/drawingml/2006/picture">
            <wp:extent cx="2011680" cy="745473"/>
            <wp:docPr id="1" name="Picture 1"/>
            <wp:cNvGraphicFramePr>
              <a:graphicFrameLocks noChangeAspect="1"/>
            </wp:cNvGraphicFramePr>
            <a:graphic>
              <a:graphicData uri="http://schemas.openxmlformats.org/drawingml/2006/picture">
                <pic:pic>
                  <pic:nvPicPr>
                    <pic:cNvPr id="0" name="5b23c38b-IMG_5936.png"/>
                    <pic:cNvPicPr/>
                  </pic:nvPicPr>
                  <pic:blipFill>
                    <a:blip r:embed="rId9"/>
                    <a:stretch>
                      <a:fillRect/>
                    </a:stretch>
                  </pic:blipFill>
                  <pic:spPr>
                    <a:xfrm>
                      <a:off x="0" y="0"/>
                      <a:ext cx="2011680" cy="745473"/>
                    </a:xfrm>
                    <a:prstGeom prst="rect"/>
                  </pic:spPr>
                </pic:pic>
              </a:graphicData>
            </a:graphic>
          </wp:inline>
        </w:drawing>
      </w:r>
    </w:p>
    <w:p>
      <w:pPr>
        <w:bidi w:val="1"/>
        <w:spacing w:line="240" w:lineRule="auto" w:after="120"/>
        <w:jc w:val="center"/>
      </w:pPr>
      <w:r>
        <w:rPr>
          <w:rFonts w:ascii="David" w:hAnsi="David" w:cs="David"/>
          <w:b/>
          <w:i w:val="0"/>
          <w:sz w:val="28"/>
          <w:szCs w:val="28"/>
          <w:rtl w:val="1"/>
        </w:rPr>
        <w:t>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גישתו של כל מחזה אל המקור המיתי ואל יסוד הגורל, סצנת היסוד של הגיבורה מול השליט, ולבסוף הפתרון המנוגד של שני המחזות ומה שאפשר ללמוד ממנו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ניכר כבר ברמת הצורה. ברכט אינו מבקש שהצופה יזדהה עם הגורל הטרגי אלא שיתבונן בו מבחוץ, ולכן הוא ממקם את הפרולוג בזמן ובמקום קונקרטיים ומנתק את ההזדהות המיתית, מהלך של הרחקה (Verfremdung) שהקורס מזהה כמרכזי בתיאטרון של ברכט (בן-חורין, תשפ"ו). הצורה עצמה נושאת את העמדה: אנטיגונה כתובה כדרמה אפית ופתוחה, קטועה, המשלבת מקהלה ופרולוג עכשווי ומסרבת לאשליה של רצף אחיד, ואילו איפיגניה כתובה בתבנית הקלאסית הסגורה, בחרוזים לבנים מדודים שבהם כל מהלך נובע מקודמו עד הפיוס, צורה המגלמת את אמון ויימאר בהרמוניה. גיתה אינו מרחיק את הגורל אלא מפנים אותו: מה שהיה אצל אוריפידס כוח חיצוני של האלים הופך אצלו לקול המצפון, והדרמה כולה נעה מן החוץ אל הפנים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מלמדת שהמיתוס אינו נושא בתוכו משמעות אחת קבועה, אלא הוא מעין מסך שעליו כל דרמטורג מקרין את שאלת תקופתו (בן-חורין, תשפ"ו). גיתה, בן הקלאסיקה של ויימאר, מקרין עליו את האמונה הנאורה ביכולת האדם, וברכט, אחרי המלחמה, את החשד כלפי אותה אמונה עצמה (Duarte, 2017).</w:t>
      </w:r>
    </w:p>
    <w:p>
      <w:pPr>
        <w:bidi w:val="1"/>
        <w:spacing w:line="360" w:lineRule="auto" w:after="160"/>
        <w:jc w:val="both"/>
      </w:pPr>
      <w:r>
        <w:rPr>
          <w:rFonts w:ascii="David" w:hAnsi="David" w:cs="David"/>
          <w:b w:val="0"/>
          <w:i w:val="0"/>
          <w:sz w:val="24"/>
          <w:szCs w:val="24"/>
          <w:rtl w:val="1"/>
        </w:rPr>
        <w:t>ההבדל נוגע ישירות בדמות הגיבורה. אנטיגונה של ברכט ואיפיגניה של גיתה שתיהן נשים המתייצבות מול סמכות גברית בשם ערך עליון, אך אצל ברכט הערך הוא צדק פוליטי המוביל אל מוות, ואצל גיתה אנושיות המובילה אל חיים. אלה שני דגמים של גבורה נשית: האחת מפרה את הצו ומשלמת על כך בחייה, השנייה אינה מפרה דבר אלא משנה את הצו מבפנים, בכוח דיבורה. העמדתן זו מול זו היא בדיוק כלי הקריאה ההשוואתית שהקורס מציע, קריאה הבוחנת לא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[הרצאות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10">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1">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2">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21476/pp.2017.2295" TargetMode="External"/><Relationship Id="rId11" Type="http://schemas.openxmlformats.org/officeDocument/2006/relationships/hyperlink" Target="https://journal.kci.go.kr/eih/archive/articleView?artiId=ART002095978" TargetMode="External"/><Relationship Id="rId12"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