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הרחבת סמכויות והחמרת ענישה, בלי טיפול בגורמי העומק ובלי שיתוף הציבור הערבי, עלולות להוביל לתוצאות בלתי צודקות מבלי להפחית את הפשיעה.</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בעניין </w:t>
      </w:r>
      <w:r>
        <w:rPr>
          <w:rFonts w:ascii="David" w:cs="David" w:eastAsia="David" w:hAnsi="David"/>
          <w:b/>
          <w:bCs/>
          <w:sz w:val="24"/>
          <w:szCs w:val="24"/>
          <w:rtl/>
        </w:rPr>
        <w:t xml:space="preserve">אלחננוב</w:t>
      </w:r>
      <w:r>
        <w:rPr>
          <w:rFonts w:ascii="David" w:cs="David" w:eastAsia="David" w:hAnsi="David"/>
          <w:sz w:val="24"/>
          <w:szCs w:val="24"/>
          <w:rt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sz w:val="24"/>
          <w:szCs w:val="24"/>
          <w:rt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sz w:val="24"/>
          <w:szCs w:val="24"/>
          <w:rt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23"/>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sz w:val="24"/>
          <w:szCs w:val="24"/>
          <w:rtl/>
        </w:rPr>
        <w:t xml:space="preserve"> שיטור נקודות חמות נמצא מפחית פשיעה באזורי היעד.</w:t>
      </w:r>
      <w:r>
        <w:rPr>
          <w:rStyle w:val="FootnoteReference"/>
        </w:rPr>
        <w:footnoteReference w:id="26"/>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sz w:val="24"/>
          <w:szCs w:val="24"/>
          <w:rt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sz w:val="24"/>
          <w:szCs w:val="24"/>
          <w:rt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40"/>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42"/>
      </w:r>
      <w:r>
        <w:rPr>
          <w:rFonts w:ascii="David" w:cs="David" w:eastAsia="David" w:hAnsi="David"/>
          <w:sz w:val="24"/>
          <w:szCs w:val="24"/>
          <w:rtl/>
        </w:rPr>
        <w:t xml:space="preserve"> בעניין </w:t>
      </w:r>
      <w:r>
        <w:rPr>
          <w:rFonts w:ascii="David" w:cs="David" w:eastAsia="David" w:hAnsi="David"/>
          <w:b/>
          <w:bCs/>
          <w:sz w:val="24"/>
          <w:szCs w:val="24"/>
          <w:rtl/>
        </w:rPr>
        <w:t xml:space="preserve">המרכז האקדמי</w:t>
      </w:r>
      <w:r>
        <w:rPr>
          <w:rFonts w:ascii="David" w:cs="David" w:eastAsia="David" w:hAnsi="David"/>
          <w:sz w:val="24"/>
          <w:szCs w:val="24"/>
          <w:rt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6"/>
      </w:r>
      <w:r>
        <w:rPr>
          <w:rFonts w:ascii="David" w:cs="David" w:eastAsia="David" w:hAnsi="David"/>
          <w:sz w:val="24"/>
          <w:szCs w:val="24"/>
          <w:rtl/>
        </w:rPr>
        <w:t xml:space="preserve"> תפקידה כולל גם הגנה על זכויות יסוד, ולא רק שמירה על הסדר.</w:t>
      </w:r>
      <w:r>
        <w:rPr>
          <w:rStyle w:val="FootnoteReference"/>
        </w:rPr>
        <w:footnoteReference w:id="47"/>
      </w:r>
      <w:r>
        <w:rPr>
          <w:rFonts w:ascii="David" w:cs="David" w:eastAsia="David" w:hAnsi="David"/>
          <w:sz w:val="24"/>
          <w:szCs w:val="24"/>
          <w:rt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sz w:val="24"/>
          <w:szCs w:val="24"/>
          <w:rt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52"/>
      </w:r>
      <w:r>
        <w:rPr>
          <w:rFonts w:ascii="David" w:cs="David" w:eastAsia="David" w:hAnsi="David"/>
          <w:sz w:val="24"/>
          <w:szCs w:val="24"/>
          <w:rtl/>
        </w:rPr>
        <w:t xml:space="preserve"> תיאור חיצוני כללי אינו מקים סמכות עיכוב,</w:t>
      </w:r>
      <w:r>
        <w:rPr>
          <w:rStyle w:val="FootnoteReference"/>
        </w:rPr>
        <w:footnoteReference w:id="5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sz w:val="24"/>
          <w:szCs w:val="24"/>
          <w:rt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sz w:val="24"/>
          <w:szCs w:val="24"/>
          <w:rtl/>
        </w:rPr>
        <w:t xml:space="preserve"> נקודת תורפה נוספת היא ההסכמה. בעניין </w:t>
      </w:r>
      <w:r>
        <w:rPr>
          <w:rFonts w:ascii="David" w:cs="David" w:eastAsia="David" w:hAnsi="David"/>
          <w:b/>
          <w:bCs/>
          <w:sz w:val="24"/>
          <w:szCs w:val="24"/>
          <w:rtl/>
        </w:rPr>
        <w:t xml:space="preserve">בן חיים</w:t>
      </w:r>
      <w:r>
        <w:rPr>
          <w:rFonts w:ascii="David" w:cs="David" w:eastAsia="David" w:hAnsi="David"/>
          <w:sz w:val="24"/>
          <w:szCs w:val="24"/>
          <w:rt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sz w:val="24"/>
          <w:szCs w:val="24"/>
          <w:rt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sz w:val="24"/>
          <w:szCs w:val="24"/>
          <w:rt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sz w:val="24"/>
          <w:szCs w:val="24"/>
          <w:rtl/>
        </w:rPr>
        <w:t xml:space="preserve"> בדיון הנוסף בעניין </w:t>
      </w:r>
      <w:r>
        <w:rPr>
          <w:rFonts w:ascii="David" w:cs="David" w:eastAsia="David" w:hAnsi="David"/>
          <w:b/>
          <w:bCs/>
          <w:sz w:val="24"/>
          <w:szCs w:val="24"/>
          <w:rtl/>
        </w:rPr>
        <w:t xml:space="preserve">טבקה</w:t>
      </w:r>
      <w:r>
        <w:rPr>
          <w:rFonts w:ascii="David" w:cs="David" w:eastAsia="David" w:hAnsi="David"/>
          <w:sz w:val="24"/>
          <w:szCs w:val="24"/>
          <w:rt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sz w:val="24"/>
          <w:szCs w:val="24"/>
          <w:rt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sz w:val="24"/>
          <w:szCs w:val="24"/>
          <w:rtl/>
        </w:rPr>
        <w:t xml:space="preserve"> בעניין </w:t>
      </w:r>
      <w:r>
        <w:rPr>
          <w:rFonts w:ascii="David" w:cs="David" w:eastAsia="David" w:hAnsi="David"/>
          <w:b/>
          <w:bCs/>
          <w:sz w:val="24"/>
          <w:szCs w:val="24"/>
          <w:rtl/>
        </w:rPr>
        <w:t xml:space="preserve">בורוביץ</w:t>
      </w:r>
      <w:r>
        <w:rPr>
          <w:rFonts w:ascii="David" w:cs="David" w:eastAsia="David" w:hAnsi="David"/>
          <w:sz w:val="24"/>
          <w:szCs w:val="24"/>
          <w:rtl/>
        </w:rPr>
        <w:t xml:space="preserve"> הוסבר שאכיפה בררנית פוגעת בשוויון בפני החוק ובתחושת הצדק,</w:t>
      </w:r>
      <w:r>
        <w:rPr>
          <w:rStyle w:val="FootnoteReference"/>
        </w:rPr>
        <w:footnoteReference w:id="62"/>
      </w:r>
      <w:r>
        <w:rPr>
          <w:rFonts w:ascii="David" w:cs="David" w:eastAsia="David" w:hAnsi="David"/>
          <w:sz w:val="24"/>
          <w:szCs w:val="24"/>
          <w:rtl/>
        </w:rPr>
        <w:t xml:space="preserve"> ובעניין </w:t>
      </w:r>
      <w:r>
        <w:rPr>
          <w:rFonts w:ascii="David" w:cs="David" w:eastAsia="David" w:hAnsi="David"/>
          <w:b/>
          <w:bCs/>
          <w:sz w:val="24"/>
          <w:szCs w:val="24"/>
          <w:rtl/>
        </w:rPr>
        <w:t xml:space="preserve">פרץ</w:t>
      </w:r>
      <w:r>
        <w:rPr>
          <w:rFonts w:ascii="David" w:cs="David" w:eastAsia="David" w:hAnsi="David"/>
          <w:sz w:val="24"/>
          <w:szCs w:val="24"/>
          <w:rt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sz w:val="24"/>
          <w:szCs w:val="24"/>
          <w:rt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sz w:val="24"/>
          <w:szCs w:val="24"/>
          <w:rt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sz w:val="24"/>
          <w:szCs w:val="24"/>
          <w:rt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sz w:val="24"/>
          <w:szCs w:val="24"/>
          <w:rtl/>
        </w:rPr>
        <w:t xml:space="preserve"> ייחודה בניסיון למסד אותן בכל הארגון,</w:t>
      </w:r>
      <w:r>
        <w:rPr>
          <w:rStyle w:val="FootnoteReference"/>
        </w:rPr>
        <w:footnoteReference w:id="71"/>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72"/>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79"/>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sz w:val="24"/>
          <w:szCs w:val="24"/>
          <w:rtl/>
        </w:rPr>
        <w:t xml:space="preserve">התנועה למען איכות השלטון</w:t>
      </w:r>
      <w:r>
        <w:rPr>
          <w:rFonts w:ascii="David" w:cs="David" w:eastAsia="David" w:hAnsi="David"/>
          <w:sz w:val="24"/>
          <w:szCs w:val="24"/>
          <w:rt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sz w:val="24"/>
          <w:szCs w:val="24"/>
          <w:rt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sz w:val="24"/>
          <w:szCs w:val="24"/>
          <w:rtl/>
        </w:rPr>
        <w:t xml:space="preserve"> בנוסף, צעירים משתתפים יותר במחאות, ובעניין </w:t>
      </w:r>
      <w:r>
        <w:rPr>
          <w:rFonts w:ascii="David" w:cs="David" w:eastAsia="David" w:hAnsi="David"/>
          <w:b/>
          <w:bCs/>
          <w:sz w:val="24"/>
          <w:szCs w:val="24"/>
          <w:rtl/>
        </w:rPr>
        <w:t xml:space="preserve">דיאב</w:t>
      </w:r>
      <w:r>
        <w:rPr>
          <w:rFonts w:ascii="David" w:cs="David" w:eastAsia="David" w:hAnsi="David"/>
          <w:sz w:val="24"/>
          <w:szCs w:val="24"/>
          <w:rtl/>
        </w:rPr>
        <w:t xml:space="preserve"> ובעניין </w:t>
      </w:r>
      <w:r>
        <w:rPr>
          <w:rFonts w:ascii="David" w:cs="David" w:eastAsia="David" w:hAnsi="David"/>
          <w:b/>
          <w:bCs/>
          <w:sz w:val="24"/>
          <w:szCs w:val="24"/>
          <w:rtl/>
        </w:rPr>
        <w:t xml:space="preserve">עבאס</w:t>
      </w:r>
      <w:r>
        <w:rPr>
          <w:rFonts w:ascii="David" w:cs="David" w:eastAsia="David" w:hAnsi="David"/>
          <w:sz w:val="24"/>
          <w:szCs w:val="24"/>
          <w:rt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sz w:val="24"/>
          <w:szCs w:val="24"/>
          <w:rtl/>
        </w:rPr>
        <w:t xml:space="preserve"> וזמינותו היא גורם מרכזי בתופעה.</w:t>
      </w:r>
      <w:r>
        <w:rPr>
          <w:rStyle w:val="FootnoteReference"/>
        </w:rPr>
        <w:footnoteReference w:id="94"/>
      </w:r>
      <w:r>
        <w:rPr>
          <w:rFonts w:ascii="David" w:cs="David" w:eastAsia="David" w:hAnsi="David"/>
          <w:sz w:val="24"/>
          <w:szCs w:val="24"/>
          <w:rt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sz w:val="24"/>
          <w:szCs w:val="24"/>
          <w:rtl/>
        </w:rPr>
        <w:t xml:space="preserve"> ועבירה נפרדת של ירי מנשק חם, בחומרה יתרה באזור מגורים.</w:t>
      </w:r>
      <w:r>
        <w:rPr>
          <w:rStyle w:val="FootnoteReference"/>
        </w:rPr>
        <w:footnoteReference w:id="96"/>
      </w:r>
      <w:r>
        <w:rPr>
          <w:rFonts w:ascii="David" w:cs="David" w:eastAsia="David" w:hAnsi="David"/>
          <w:sz w:val="24"/>
          <w:szCs w:val="24"/>
          <w:rtl/>
        </w:rPr>
        <w:t xml:space="preserve"> עבירות נשק מקימות גם חזקת מסוכנות בהליכי מעצר.</w:t>
      </w:r>
      <w:r>
        <w:rPr>
          <w:rStyle w:val="FootnoteReference"/>
        </w:rPr>
        <w:footnoteReference w:id="97"/>
      </w:r>
      <w:r>
        <w:rPr>
          <w:rFonts w:ascii="David" w:cs="David" w:eastAsia="David" w:hAnsi="David"/>
          <w:sz w:val="24"/>
          <w:szCs w:val="24"/>
          <w:rt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sz w:val="24"/>
          <w:szCs w:val="24"/>
          <w:rt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sz w:val="24"/>
          <w:szCs w:val="24"/>
          <w:rt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101"/>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sz w:val="24"/>
          <w:szCs w:val="24"/>
          <w:rtl/>
        </w:rPr>
        <w:t xml:space="preserve"> ושפיקוח משטרתי כבד אינו מעיד בהכרח על משילות.</w:t>
      </w:r>
      <w:r>
        <w:rPr>
          <w:rStyle w:val="FootnoteReference"/>
        </w:rPr>
        <w:footnoteReference w:id="112"/>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sz w:val="24"/>
          <w:szCs w:val="24"/>
          <w:rt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sz w:val="24"/>
          <w:szCs w:val="24"/>
          <w:rt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sz w:val="24"/>
          <w:szCs w:val="24"/>
          <w:rtl/>
        </w:rPr>
        <w:t xml:space="preserve"> גם ההגנה על מי שמוסר מידע מוגבלת: ברק-ארז מראה שבתי המשפט הגנו בעיקר על זהותם של מודיעים משטרתיים,</w:t>
      </w:r>
      <w:r>
        <w:rPr>
          <w:rStyle w:val="FootnoteReference"/>
        </w:rPr>
        <w:footnoteReference w:id="118"/>
      </w:r>
      <w:r>
        <w:rPr>
          <w:rFonts w:ascii="David" w:cs="David" w:eastAsia="David" w:hAnsi="David"/>
          <w:sz w:val="24"/>
          <w:szCs w:val="24"/>
          <w:rtl/>
        </w:rPr>
        <w:t xml:space="preserve"> ופסיקה מאוחרת יותר סייגה אף את ההגנה הזו.</w:t>
      </w:r>
      <w:r>
        <w:rPr>
          <w:rStyle w:val="FootnoteReference"/>
        </w:rPr>
        <w:footnoteReference w:id="119"/>
      </w:r>
      <w:r>
        <w:rPr>
          <w:rFonts w:ascii="David" w:cs="David" w:eastAsia="David" w:hAnsi="David"/>
          <w:sz w:val="24"/>
          <w:szCs w:val="24"/>
          <w:rtl/>
        </w:rPr>
        <w:t xml:space="preserve"> הרדוף מזהיר ששימוש במודיעים ובאמצעי מעקב שאינם מוסדרים בחוק עלול לסדוק את האמון החברתי.</w:t>
      </w:r>
      <w:r>
        <w:rPr>
          <w:rStyle w:val="FootnoteReference"/>
        </w:rPr>
        <w:footnoteReference w:id="120"/>
      </w:r>
      <w:r>
        <w:rPr>
          <w:rFonts w:ascii="David" w:cs="David" w:eastAsia="David" w:hAnsi="David"/>
          <w:sz w:val="24"/>
          <w:szCs w:val="24"/>
          <w:rt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1"/>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2"/>
      </w:r>
      <w:r>
        <w:rPr>
          <w:rFonts w:ascii="David" w:cs="David" w:eastAsia="David" w:hAnsi="David"/>
          <w:sz w:val="24"/>
          <w:szCs w:val="24"/>
          <w:rt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3"/>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124"/>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5"/>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6"/>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127"/>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8"/>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29"/>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0"/>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31"/>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32"/>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3"/>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34"/>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5"/>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6"/>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7"/>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38"/>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39"/>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40"/>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1"/>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2"/>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43"/>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4"/>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5"/>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6"/>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47"/>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8"/>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sz w:val="24"/>
          <w:szCs w:val="24"/>
          <w:rtl w:val="false"/>
        </w:rPr>
        <w:t xml:space="preserve">Brown‎</w:t>
      </w:r>
      <w:r>
        <w:rPr>
          <w:rFonts w:ascii="David" w:cs="David" w:eastAsia="David" w:hAnsi="David"/>
          <w:sz w:val="24"/>
          <w:szCs w:val="24"/>
          <w:rtl/>
        </w:rPr>
        <w:t xml:space="preserve"> נקבע שאין להרשיע אדם בסירוב להזדהות בלי נסיבות שמקימות חשד סביר,</w:t>
      </w:r>
      <w:r>
        <w:rPr>
          <w:rStyle w:val="FootnoteReference"/>
        </w:rPr>
        <w:footnoteReference w:id="149"/>
      </w:r>
      <w:r>
        <w:rPr>
          <w:rFonts w:ascii="David" w:cs="David" w:eastAsia="David" w:hAnsi="David"/>
          <w:sz w:val="24"/>
          <w:szCs w:val="24"/>
          <w:rtl/>
        </w:rPr>
        <w:t xml:space="preserve"> ופנייה בלי חשד כפופה למבחן "חופשי לעזוב": האם אדם סביר היה מבין שהוא רשאי לסרב ולהמשיך בדרכו.</w:t>
      </w:r>
      <w:r>
        <w:rPr>
          <w:rStyle w:val="FootnoteReference"/>
        </w:rPr>
        <w:footnoteReference w:id="150"/>
      </w:r>
      <w:r>
        <w:rPr>
          <w:rFonts w:ascii="David" w:cs="David" w:eastAsia="David" w:hAnsi="David"/>
          <w:sz w:val="24"/>
          <w:szCs w:val="24"/>
          <w:rtl/>
        </w:rPr>
        <w:t xml:space="preserve"> כללי </w:t>
      </w:r>
      <w:r>
        <w:rPr>
          <w:rFonts w:ascii="David" w:cs="David" w:eastAsia="David" w:hAnsi="David"/>
          <w:i/>
          <w:iCs/>
          <w:sz w:val="24"/>
          <w:szCs w:val="24"/>
          <w:rtl w:val="false"/>
        </w:rPr>
        <w:t xml:space="preserve">Miranda‎</w:t>
      </w:r>
      <w:r>
        <w:rPr>
          <w:rFonts w:ascii="David" w:cs="David" w:eastAsia="David" w:hAnsi="David"/>
          <w:sz w:val="24"/>
          <w:szCs w:val="24"/>
          <w:rtl/>
        </w:rPr>
        <w:t xml:space="preserve"> מדגימים את הגישה האמריקאית של כללים פרוצדורליים ברורים, שקל לציית להם וקל לבדוק אם קוימו.</w:t>
      </w:r>
      <w:r>
        <w:rPr>
          <w:rStyle w:val="FootnoteReference"/>
        </w:rPr>
        <w:footnoteReference w:id="151"/>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2"/>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53"/>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54"/>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5"/>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56"/>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57"/>
      </w:r>
      <w:r>
        <w:rPr>
          <w:rFonts w:ascii="David" w:cs="David" w:eastAsia="David" w:hAnsi="David"/>
          <w:sz w:val="24"/>
          <w:szCs w:val="24"/>
          <w:rtl/>
        </w:rPr>
        <w:t xml:space="preserve"> ומינוי מפקח עצמאי בהליך שיפוטי.</w:t>
      </w:r>
      <w:r>
        <w:rPr>
          <w:rStyle w:val="FootnoteReference"/>
        </w:rPr>
        <w:footnoteReference w:id="158"/>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59"/>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60"/>
      </w:r>
      <w:r>
        <w:rPr>
          <w:rFonts w:ascii="David" w:cs="David" w:eastAsia="David" w:hAnsi="David"/>
          <w:sz w:val="24"/>
          <w:szCs w:val="24"/>
          <w:rtl/>
        </w:rPr>
        <w:t xml:space="preserve"> בערכאות המדינתיות נקבע בעניין </w:t>
      </w:r>
      <w:r>
        <w:rPr>
          <w:rFonts w:ascii="David" w:cs="David" w:eastAsia="David" w:hAnsi="David"/>
          <w:i/>
          <w:iCs/>
          <w:sz w:val="24"/>
          <w:szCs w:val="24"/>
          <w:rtl w:val="false"/>
        </w:rPr>
        <w:t xml:space="preserve">White‎</w:t>
      </w:r>
      <w:r>
        <w:rPr>
          <w:rFonts w:ascii="David" w:cs="David" w:eastAsia="David" w:hAnsi="David"/>
          <w:sz w:val="24"/>
          <w:szCs w:val="24"/>
          <w:rtl/>
        </w:rPr>
        <w:t xml:space="preserve"> שדוקטרינת החובה הציבורית מגינה על שוטרים שלא סייעו למנוע רצח של אישה בידי בעלה, ובעניין </w:t>
      </w:r>
      <w:r>
        <w:rPr>
          <w:rFonts w:ascii="David" w:cs="David" w:eastAsia="David" w:hAnsi="David"/>
          <w:i/>
          <w:iCs/>
          <w:sz w:val="24"/>
          <w:szCs w:val="24"/>
          <w:rtl w:val="false"/>
        </w:rPr>
        <w:t xml:space="preserve">Cuffy‎</w:t>
      </w:r>
      <w:r>
        <w:rPr>
          <w:rFonts w:ascii="David" w:cs="David" w:eastAsia="David" w:hAnsi="David"/>
          <w:sz w:val="24"/>
          <w:szCs w:val="24"/>
          <w:rtl/>
        </w:rPr>
        <w:t xml:space="preserve"> נדרשה הוכחה של "יחסים מיוחדים" ושל הסתמכות.</w:t>
      </w:r>
      <w:r>
        <w:rPr>
          <w:rStyle w:val="FootnoteReference"/>
        </w:rPr>
        <w:footnoteReference w:id="161"/>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62"/>
      </w:r>
      <w:r>
        <w:rPr>
          <w:rFonts w:ascii="David" w:cs="David" w:eastAsia="David" w:hAnsi="David"/>
          <w:sz w:val="24"/>
          <w:szCs w:val="24"/>
          <w:rtl/>
        </w:rPr>
        <w:t xml:space="preserve"> גלעד מתאר את הדוקטרינה שלפיה חובה כלפי ציבור רחב אינה מקימה אחריות כלפי אדם מסוים ("</w:t>
      </w:r>
      <w:r>
        <w:rPr>
          <w:rFonts w:ascii="David" w:cs="David" w:eastAsia="David" w:hAnsi="David"/>
          <w:sz w:val="24"/>
          <w:szCs w:val="24"/>
          <w:rtl w:val="false"/>
        </w:rPr>
        <w:t xml:space="preserve">duty to all is duty to none‎</w:t>
      </w:r>
      <w:r>
        <w:rPr>
          <w:rFonts w:ascii="David" w:cs="David" w:eastAsia="David" w:hAnsi="David"/>
          <w:sz w:val="24"/>
          <w:szCs w:val="24"/>
          <w:rtl/>
        </w:rPr>
        <w:t xml:space="preserve">").</w:t>
      </w:r>
      <w:r>
        <w:rPr>
          <w:rStyle w:val="FootnoteReference"/>
        </w:rPr>
        <w:footnoteReference w:id="163"/>
      </w:r>
      <w:r>
        <w:rPr>
          <w:rFonts w:ascii="David" w:cs="David" w:eastAsia="David" w:hAnsi="David"/>
          <w:sz w:val="24"/>
          <w:szCs w:val="24"/>
          <w:rtl/>
        </w:rPr>
        <w:t xml:space="preserve"> זהו חוסר האיזון שנטפוף הצביעה עליו.</w:t>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64"/>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65"/>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6"/>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67"/>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68"/>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69"/>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0"/>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7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2"/>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3"/>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4"/>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5"/>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76"/>
      </w:r>
      <w:r>
        <w:rPr>
          <w:rFonts w:ascii="David" w:cs="David" w:eastAsia="David" w:hAnsi="David"/>
          <w:sz w:val="24"/>
          <w:szCs w:val="24"/>
          <w:rt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sz w:val="24"/>
          <w:szCs w:val="24"/>
          <w:rtl w:val="false"/>
        </w:rPr>
        <w:t xml:space="preserve">Hill‎</w:t>
      </w:r>
      <w:r>
        <w:rPr>
          <w:rFonts w:ascii="David" w:cs="David" w:eastAsia="David" w:hAnsi="David"/>
          <w:sz w:val="24"/>
          <w:szCs w:val="24"/>
          <w:rtl/>
        </w:rPr>
        <w:t xml:space="preserve"> נדחתה תביעה על ניהול רשלני של חקירת רציחות.</w:t>
      </w:r>
      <w:r>
        <w:rPr>
          <w:rStyle w:val="FootnoteReference"/>
        </w:rPr>
        <w:footnoteReference w:id="177"/>
      </w:r>
      <w:r>
        <w:rPr>
          <w:rFonts w:ascii="David" w:cs="David" w:eastAsia="David" w:hAnsi="David"/>
          <w:sz w:val="24"/>
          <w:szCs w:val="24"/>
          <w:rtl/>
        </w:rPr>
        <w:t xml:space="preserve"> גלעד מוסיף שההגנה חלה במיוחד על החלטות תקציביות של הקצאת משאבים,</w:t>
      </w:r>
      <w:r>
        <w:rPr>
          <w:rStyle w:val="FootnoteReference"/>
        </w:rPr>
        <w:footnoteReference w:id="178"/>
      </w:r>
      <w:r>
        <w:rPr>
          <w:rFonts w:ascii="David" w:cs="David" w:eastAsia="David" w:hAnsi="David"/>
          <w:sz w:val="24"/>
          <w:szCs w:val="24"/>
          <w:rtl/>
        </w:rPr>
        <w:t xml:space="preserve"> ובעניין </w:t>
      </w:r>
      <w:r>
        <w:rPr>
          <w:rFonts w:ascii="David" w:cs="David" w:eastAsia="David" w:hAnsi="David"/>
          <w:i/>
          <w:iCs/>
          <w:sz w:val="24"/>
          <w:szCs w:val="24"/>
          <w:rtl w:val="false"/>
        </w:rPr>
        <w:t xml:space="preserve">Rigby‎</w:t>
      </w:r>
      <w:r>
        <w:rPr>
          <w:rFonts w:ascii="David" w:cs="David" w:eastAsia="David" w:hAnsi="David"/>
          <w:sz w:val="24"/>
          <w:szCs w:val="24"/>
          <w:rtl/>
        </w:rPr>
        <w:t xml:space="preserve"> הבחין בית המשפט בין החלטת מדיניות לבין ביצוע.</w:t>
      </w:r>
      <w:r>
        <w:rPr>
          <w:rStyle w:val="FootnoteReference"/>
        </w:rPr>
        <w:footnoteReference w:id="179"/>
      </w:r>
      <w:r>
        <w:rPr>
          <w:rFonts w:ascii="David" w:cs="David" w:eastAsia="David" w:hAnsi="David"/>
          <w:sz w:val="24"/>
          <w:szCs w:val="24"/>
          <w:rtl/>
        </w:rPr>
        <w:t xml:space="preserve"> בעניין </w:t>
      </w:r>
      <w:r>
        <w:rPr>
          <w:rFonts w:ascii="David" w:cs="David" w:eastAsia="David" w:hAnsi="David"/>
          <w:i/>
          <w:iCs/>
          <w:sz w:val="24"/>
          <w:szCs w:val="24"/>
          <w:rtl w:val="false"/>
        </w:rPr>
        <w:t xml:space="preserve">Kirkham‎</w:t>
      </w:r>
      <w:r>
        <w:rPr>
          <w:rFonts w:ascii="David" w:cs="David" w:eastAsia="David" w:hAnsi="David"/>
          <w:sz w:val="24"/>
          <w:szCs w:val="24"/>
          <w:rtl/>
        </w:rPr>
        <w:t xml:space="preserve">, לעומת זאת, הוטלה אחריות משום שהמשטרה יצרה סיכון אקטיבי.</w:t>
      </w:r>
      <w:r>
        <w:rPr>
          <w:rStyle w:val="FootnoteReference"/>
        </w:rPr>
        <w:footnoteReference w:id="180"/>
      </w:r>
      <w:r>
        <w:rPr>
          <w:rFonts w:ascii="David" w:cs="David" w:eastAsia="David" w:hAnsi="David"/>
          <w:sz w:val="24"/>
          <w:szCs w:val="24"/>
          <w:rtl/>
        </w:rPr>
        <w:t xml:space="preserve">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81"/>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82"/>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83"/>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4"/>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5"/>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86"/>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87"/>
      </w:r>
      <w:r>
        <w:rPr>
          <w:rFonts w:ascii="David" w:cs="David" w:eastAsia="David" w:hAnsi="David"/>
          <w:sz w:val="24"/>
          <w:szCs w:val="24"/>
          <w:rtl/>
        </w:rPr>
        <w:t xml:space="preserve"> סעיף 3 לחוק הנזיקים האזרחיים (אחריות המדינה) מוציא את הרשלנות מן החסינות,</w:t>
      </w:r>
      <w:r>
        <w:rPr>
          <w:rStyle w:val="FootnoteReference"/>
        </w:rPr>
        <w:footnoteReference w:id="188"/>
      </w:r>
      <w:r>
        <w:rPr>
          <w:rFonts w:ascii="David" w:cs="David" w:eastAsia="David" w:hAnsi="David"/>
          <w:sz w:val="24"/>
          <w:szCs w:val="24"/>
          <w:rtl/>
        </w:rPr>
        <w:t xml:space="preserve"> אך בקטגוריה של אי-מניעת נזק שגרם אחר רוב פסקי הדין לא הטילו אחריות, כמו בעניין </w:t>
      </w:r>
      <w:r>
        <w:rPr>
          <w:rFonts w:ascii="David" w:cs="David" w:eastAsia="David" w:hAnsi="David"/>
          <w:b/>
          <w:bCs/>
          <w:sz w:val="24"/>
          <w:szCs w:val="24"/>
          <w:rtl/>
        </w:rPr>
        <w:t xml:space="preserve">פלונים</w:t>
      </w:r>
      <w:r>
        <w:rPr>
          <w:rFonts w:ascii="David" w:cs="David" w:eastAsia="David" w:hAnsi="David"/>
          <w:sz w:val="24"/>
          <w:szCs w:val="24"/>
          <w:rtl/>
        </w:rPr>
        <w:t xml:space="preserve">.</w:t>
      </w:r>
      <w:r>
        <w:rPr>
          <w:rStyle w:val="FootnoteReference"/>
        </w:rPr>
        <w:footnoteReference w:id="189"/>
      </w:r>
      <w:r>
        <w:rPr>
          <w:rFonts w:ascii="David" w:cs="David" w:eastAsia="David" w:hAnsi="David"/>
          <w:sz w:val="24"/>
          <w:szCs w:val="24"/>
          <w:rt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0"/>
      </w:r>
      <w:r>
        <w:rPr>
          <w:rFonts w:ascii="David" w:cs="David" w:eastAsia="David" w:hAnsi="David"/>
          <w:sz w:val="24"/>
          <w:szCs w:val="24"/>
          <w:rtl/>
        </w:rPr>
        <w:t xml:space="preserve"> ודרומי מגיע למסקנה דומה לגבי המונופול של המשטרה על הכוח במרחב הציבורי.</w:t>
      </w:r>
      <w:r>
        <w:rPr>
          <w:rStyle w:val="FootnoteReference"/>
        </w:rPr>
        <w:footnoteReference w:id="191"/>
      </w:r>
      <w:r>
        <w:rPr>
          <w:rFonts w:ascii="David" w:cs="David" w:eastAsia="David" w:hAnsi="David"/>
          <w:sz w:val="24"/>
          <w:szCs w:val="24"/>
          <w:rtl/>
        </w:rPr>
        <w:t xml:space="preserve"> בצד שיטור היתר, עיכוב בלי סמכות כדין הוא פגיעה פיזית בחירות,</w:t>
      </w:r>
      <w:r>
        <w:rPr>
          <w:rStyle w:val="FootnoteReference"/>
        </w:rPr>
        <w:footnoteReference w:id="192"/>
      </w:r>
      <w:r>
        <w:rPr>
          <w:rFonts w:ascii="David" w:cs="David" w:eastAsia="David" w:hAnsi="David"/>
          <w:sz w:val="24"/>
          <w:szCs w:val="24"/>
          <w:rtl/>
        </w:rPr>
        <w:t xml:space="preserve"> ובעניין </w:t>
      </w:r>
      <w:r>
        <w:rPr>
          <w:rFonts w:ascii="David" w:cs="David" w:eastAsia="David" w:hAnsi="David"/>
          <w:b/>
          <w:bCs/>
          <w:sz w:val="24"/>
          <w:szCs w:val="24"/>
          <w:rtl/>
        </w:rPr>
        <w:t xml:space="preserve">בוסקילה</w:t>
      </w:r>
      <w:r>
        <w:rPr>
          <w:rFonts w:ascii="David" w:cs="David" w:eastAsia="David" w:hAnsi="David"/>
          <w:sz w:val="24"/>
          <w:szCs w:val="24"/>
          <w:rtl/>
        </w:rPr>
        <w:t xml:space="preserve"> נפסק פיצוי על מעצר שלא כדין ועל פגיעה בקניין ובחופש התנועה.</w:t>
      </w:r>
      <w:r>
        <w:rPr>
          <w:rStyle w:val="FootnoteReference"/>
        </w:rPr>
        <w:footnoteReference w:id="193"/>
      </w:r>
      <w:r>
        <w:rPr>
          <w:rFonts w:ascii="David" w:cs="David" w:eastAsia="David" w:hAnsi="David"/>
          <w:sz w:val="24"/>
          <w:szCs w:val="24"/>
          <w:rtl/>
        </w:rPr>
        <w:t xml:space="preserve"> בעניין </w:t>
      </w:r>
      <w:r>
        <w:rPr>
          <w:rFonts w:ascii="David" w:cs="David" w:eastAsia="David" w:hAnsi="David"/>
          <w:b/>
          <w:bCs/>
          <w:sz w:val="24"/>
          <w:szCs w:val="24"/>
          <w:rtl/>
        </w:rPr>
        <w:t xml:space="preserve">פדידה</w:t>
      </w:r>
      <w:r>
        <w:rPr>
          <w:rFonts w:ascii="David" w:cs="David" w:eastAsia="David" w:hAnsi="David"/>
          <w:sz w:val="24"/>
          <w:szCs w:val="24"/>
          <w:rtl/>
        </w:rPr>
        <w:t xml:space="preserve"> הזכירה השופטת וילנר שלאיזון שנקבע לא יהיה ערך "אם יישאר כאיזון תיאורטי, הקיים 'על הנייר בלבד'".</w:t>
      </w:r>
      <w:r>
        <w:rPr>
          <w:rStyle w:val="FootnoteReference"/>
        </w:rPr>
        <w:footnoteReference w:id="194"/>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5"/>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96"/>
      </w:r>
      <w:r>
        <w:rPr>
          <w:rFonts w:ascii="David" w:cs="David" w:eastAsia="David" w:hAnsi="David"/>
          <w:sz w:val="24"/>
          <w:szCs w:val="24"/>
          <w:rt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7"/>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98"/>
      </w:r>
      <w:r>
        <w:rPr>
          <w:rFonts w:ascii="David" w:cs="David" w:eastAsia="David" w:hAnsi="David"/>
          <w:sz w:val="24"/>
          <w:szCs w:val="24"/>
          <w:rtl/>
        </w:rPr>
        <w:t xml:space="preserve"> בישראל הושגו תוצאות חיוביות בסל הרכוש,</w:t>
      </w:r>
      <w:r>
        <w:rPr>
          <w:rStyle w:val="FootnoteReference"/>
        </w:rPr>
        <w:footnoteReference w:id="199"/>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200"/>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1"/>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2"/>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3"/>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4"/>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5"/>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206"/>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207"/>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8"/>
      </w:r>
      <w:r>
        <w:rPr>
          <w:rFonts w:ascii="David" w:cs="David" w:eastAsia="David" w:hAnsi="David"/>
          <w:sz w:val="24"/>
          <w:szCs w:val="24"/>
          <w:rtl/>
        </w:rPr>
        <w:t xml:space="preserve"> אף שהרכיב הקהילתי הוא יסוד של התוכנית.</w:t>
      </w:r>
      <w:r>
        <w:rPr>
          <w:rStyle w:val="FootnoteReference"/>
        </w:rPr>
        <w:footnoteReference w:id="209"/>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210"/>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211"/>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212"/>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213"/>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4"/>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215"/>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6"/>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217"/>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18"/>
      </w:r>
      <w:r>
        <w:rPr>
          <w:rFonts w:ascii="David" w:cs="David" w:eastAsia="David" w:hAnsi="David"/>
          <w:sz w:val="24"/>
          <w:szCs w:val="24"/>
          <w:rtl/>
        </w:rPr>
        <w:t xml:space="preserve"> ואכן הביקורת הפנימית על אמו"ן חזרה על אותה אזהרה.</w:t>
      </w:r>
      <w:r>
        <w:rPr>
          <w:rStyle w:val="FootnoteReference"/>
        </w:rPr>
        <w:footnoteReference w:id="219"/>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0"/>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221"/>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2"/>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3"/>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4"/>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5"/>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6"/>
      </w:r>
      <w:r>
        <w:rPr>
          <w:rFonts w:ascii="David" w:cs="David" w:eastAsia="David" w:hAnsi="David"/>
          <w:sz w:val="24"/>
          <w:szCs w:val="24"/>
          <w:rtl/>
        </w:rPr>
        <w:t xml:space="preserve"> ההשוואה מספקת תבנית: איסור מפורש לבסס חשד על מאפיינים אישיים כהוראת עבודה,</w:t>
      </w:r>
      <w:r>
        <w:rPr>
          <w:rStyle w:val="FootnoteReference"/>
        </w:rPr>
        <w:footnoteReference w:id="227"/>
      </w:r>
      <w:r>
        <w:rPr>
          <w:rFonts w:ascii="David" w:cs="David" w:eastAsia="David" w:hAnsi="David"/>
          <w:sz w:val="24"/>
          <w:szCs w:val="24"/>
          <w:rtl/>
        </w:rPr>
        <w:t xml:space="preserve"> תיעוד של סיבת העיכוב, תוצאתו והזהות האתנית,</w:t>
      </w:r>
      <w:r>
        <w:rPr>
          <w:rStyle w:val="FootnoteReference"/>
        </w:rPr>
        <w:footnoteReference w:id="228"/>
      </w:r>
      <w:r>
        <w:rPr>
          <w:rFonts w:ascii="David" w:cs="David" w:eastAsia="David" w:hAnsi="David"/>
          <w:sz w:val="24"/>
          <w:szCs w:val="24"/>
          <w:rtl/>
        </w:rPr>
        <w:t xml:space="preserve"> ובדיקה של הרישומים לאיתור דפוסים.</w:t>
      </w:r>
      <w:r>
        <w:rPr>
          <w:rStyle w:val="FootnoteReference"/>
        </w:rPr>
        <w:footnoteReference w:id="229"/>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0"/>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231"/>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232"/>
      </w:r>
      <w:r>
        <w:rPr>
          <w:rFonts w:ascii="David" w:cs="David" w:eastAsia="David" w:hAnsi="David"/>
          <w:sz w:val="24"/>
          <w:szCs w:val="24"/>
          <w:rt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3"/>
      </w:r>
      <w:r>
        <w:rPr>
          <w:rFonts w:ascii="David" w:cs="David" w:eastAsia="David" w:hAnsi="David"/>
          <w:sz w:val="24"/>
          <w:szCs w:val="24"/>
          <w:rtl/>
        </w:rPr>
        <w:t xml:space="preserve"> ומביא את אזהרתו של רואץ': "</w:t>
      </w:r>
      <w:r>
        <w:rPr>
          <w:rFonts w:ascii="David" w:cs="David" w:eastAsia="David" w:hAnsi="David"/>
          <w:sz w:val="24"/>
          <w:szCs w:val="24"/>
          <w:rtl w:val="false"/>
        </w:rPr>
        <w:t xml:space="preserve">A democracy that does not hold its police accountable can become a police state‎</w:t>
      </w:r>
      <w:r>
        <w:rPr>
          <w:rFonts w:ascii="David" w:cs="David" w:eastAsia="David" w:hAnsi="David"/>
          <w:sz w:val="24"/>
          <w:szCs w:val="24"/>
          <w:rtl/>
        </w:rPr>
        <w:t xml:space="preserve">".</w:t>
      </w:r>
      <w:r>
        <w:rPr>
          <w:rStyle w:val="FootnoteReference"/>
        </w:rPr>
        <w:footnoteReference w:id="234"/>
      </w:r>
      <w:r>
        <w:rPr>
          <w:rFonts w:ascii="David" w:cs="David" w:eastAsia="David" w:hAnsi="David"/>
          <w:sz w:val="24"/>
          <w:szCs w:val="24"/>
          <w:rt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5"/>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w:t>
      </w:r>
      <w:r>
        <w:rPr>
          <w:rStyle w:val="FootnoteReference"/>
        </w:rPr>
        <w:footnoteReference w:id="236"/>
      </w:r>
      <w:r>
        <w:rPr>
          <w:rFonts w:ascii="David" w:cs="David" w:eastAsia="David" w:hAnsi="David"/>
          <w:sz w:val="24"/>
          <w:szCs w:val="24"/>
          <w:rt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7"/>
      </w:r>
    </w:p>
    <w:p>
      <w:pPr>
        <w:bidi/>
        <w:spacing w:after="120" w:line="360"/>
        <w:ind w:firstLine="0"/>
        <w:jc w:val="both"/>
      </w:pPr>
      <w:r>
        <w:rPr>
          <w:rFonts w:ascii="David" w:cs="David" w:eastAsia="David" w:hAnsi="David"/>
          <w:sz w:val="24"/>
          <w:szCs w:val="24"/>
          <w:rtl/>
        </w:rPr>
        <w:t xml:space="preserve">הבניית שיקול הדעת קשורה ישירות גם לשאלת האמון. אם הוגנות ההליכים היא המנבא החזק של הלגיטימיות,</w:t>
      </w:r>
      <w:r>
        <w:rPr>
          <w:rStyle w:val="FootnoteReference"/>
        </w:rPr>
        <w:footnoteReference w:id="238"/>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239"/>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8634/08 </w:t>
      </w:r>
      <w:r>
        <w:rPr>
          <w:rFonts w:ascii="David" w:cs="David" w:eastAsia="David" w:hAnsi="David"/>
          <w:b/>
          <w:bCs/>
          <w:sz w:val="20"/>
          <w:szCs w:val="20"/>
          <w:rtl/>
        </w:rPr>
        <w:t xml:space="preserve">אלחננוב נ' משטרת ישראל – אגף משאבי אנוש</w:t>
      </w:r>
      <w:r>
        <w:rPr>
          <w:rFonts w:ascii="David" w:cs="David" w:eastAsia="David" w:hAnsi="David"/>
          <w:sz w:val="20"/>
          <w:szCs w:val="20"/>
          <w:rtl/>
        </w:rPr>
        <w:t xml:space="preserve">, פס' 43 (נבו 16.11.2010).</w:t>
      </w:r>
    </w:p>
  </w:footnote>
  <w:footnote w:id="14">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למשפטים למען הדמוקרטיה </w:t>
      </w:r>
      <w:r>
        <w:rPr>
          <w:rFonts w:ascii="David" w:cs="David" w:eastAsia="David" w:hAnsi="David"/>
          <w:b/>
          <w:bCs/>
          <w:sz w:val="20"/>
          <w:szCs w:val="20"/>
          <w:rtl/>
        </w:rPr>
        <w:t xml:space="preserve">שינויי המשטר בישראל 2023: אסופת ניירות עמדה</w:t>
      </w:r>
      <w:r>
        <w:rPr>
          <w:rFonts w:ascii="David" w:cs="David" w:eastAsia="David" w:hAnsi="David"/>
          <w:sz w:val="20"/>
          <w:szCs w:val="20"/>
          <w:rtl w:val="false"/>
        </w:rPr>
        <w:t xml:space="preserve"> 591-590 (2026).</w:t>
      </w:r>
    </w:p>
  </w:footnote>
  <w:footnote w:id="20">
    <w:p>
      <w:pPr>
        <w:bidi/>
        <w:spacing w:after="40" w:line="240"/>
        <w:jc w:val="both"/>
      </w:pPr>
      <w:r>
        <w:rPr>
          <w:rStyle w:val="FootnoteReference"/>
        </w:rPr>
        <w:footnoteRef/>
      </w:r>
      <w:r>
        <w:rPr>
          <w:rFonts w:ascii="David" w:cs="David" w:eastAsia="David" w:hAnsi="David"/>
          <w:sz w:val="20"/>
          <w:szCs w:val="20"/>
          <w:rtl/>
        </w:rPr>
        <w:t xml:space="preserve"> גילה אמיתי וענבל וילמובסקי "קרימינולוגיה ביקורתית: עוגנים תיאורטיים ויישום" </w:t>
      </w:r>
      <w:r>
        <w:rPr>
          <w:rFonts w:ascii="David" w:cs="David" w:eastAsia="David" w:hAnsi="David"/>
          <w:b/>
          <w:bCs/>
          <w:sz w:val="20"/>
          <w:szCs w:val="20"/>
          <w:rtl/>
        </w:rPr>
        <w:t xml:space="preserve">קרימינולוגיה ישראלית</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21">
    <w:p>
      <w:pPr>
        <w:bidi/>
        <w:spacing w:after="40" w:line="240"/>
        <w:jc w:val="both"/>
      </w:pPr>
      <w:r>
        <w:rPr>
          <w:rStyle w:val="FootnoteReference"/>
        </w:rPr>
        <w:footnoteRef/>
      </w:r>
      <w:r>
        <w:rPr>
          <w:rFonts w:ascii="David" w:cs="David" w:eastAsia="David" w:hAnsi="David"/>
          <w:sz w:val="20"/>
          <w:szCs w:val="20"/>
          <w:rtl/>
        </w:rPr>
        <w:t xml:space="preserve"> דיוויד וייסבורד וג'ון א' אק "מה יכולה המשטרה לעשות כדי להפחית פשיעה, אי-סדר ופחד מפשיעה?" </w:t>
      </w:r>
      <w:r>
        <w:rPr>
          <w:rFonts w:ascii="David" w:cs="David" w:eastAsia="David" w:hAnsi="David"/>
          <w:b/>
          <w:bCs/>
          <w:sz w:val="20"/>
          <w:szCs w:val="20"/>
          <w:rtl/>
        </w:rPr>
        <w:t xml:space="preserve">עבריינות וסטייה חברתית: תאוריה ויישום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2022).</w:t>
      </w:r>
    </w:p>
  </w:footnote>
  <w:footnote w:id="2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42-44.</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30">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31">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3">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4">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5">
    <w:p>
      <w:pPr>
        <w:bidi/>
        <w:spacing w:after="40" w:line="240"/>
        <w:jc w:val="both"/>
      </w:pPr>
      <w:r>
        <w:rPr>
          <w:rStyle w:val="FootnoteReference"/>
        </w:rPr>
        <w:footnoteRef/>
      </w:r>
      <w:r>
        <w:rPr>
          <w:rFonts w:ascii="David" w:cs="David" w:eastAsia="David" w:hAnsi="David"/>
          <w:sz w:val="20"/>
          <w:szCs w:val="20"/>
          <w:rtl/>
        </w:rPr>
        <w:t xml:space="preserve"> אסף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חלק א (</w:t>
      </w:r>
      <w:r>
        <w:rPr>
          <w:rFonts w:ascii="David" w:cs="David" w:eastAsia="David" w:hAnsi="David"/>
          <w:sz w:val="20"/>
          <w:szCs w:val="20"/>
          <w:shd w:fill="FFF200" w:color="auto" w:val="clear"/>
          <w:rtl/>
        </w:rPr>
        <w:t xml:space="preserve">[שנה]</w:t>
      </w:r>
      <w:r>
        <w:rPr>
          <w:rFonts w:ascii="David" w:cs="David" w:eastAsia="David" w:hAnsi="David"/>
          <w:sz w:val="20"/>
          <w:szCs w:val="20"/>
          <w:rtl/>
        </w:rPr>
        <w:t xml:space="preserve">).</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17, בעמ' 75.</w:t>
      </w:r>
    </w:p>
  </w:footnote>
  <w:footnote w:id="3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42">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43">
    <w:p>
      <w:pPr>
        <w:bidi/>
        <w:spacing w:after="40" w:line="240"/>
        <w:jc w:val="both"/>
      </w:pPr>
      <w:r>
        <w:rPr>
          <w:rStyle w:val="FootnoteReference"/>
        </w:rPr>
        <w:footnoteRef/>
      </w:r>
      <w:r>
        <w:rPr>
          <w:rFonts w:ascii="David" w:cs="David" w:eastAsia="David" w:hAnsi="David"/>
          <w:sz w:val="20"/>
          <w:szCs w:val="20"/>
          <w:rtl/>
        </w:rPr>
        <w:t xml:space="preserve"> בג"ץ 2605/05 </w:t>
      </w:r>
      <w:r>
        <w:rPr>
          <w:rFonts w:ascii="David" w:cs="David" w:eastAsia="David" w:hAnsi="David"/>
          <w:b/>
          <w:bCs/>
          <w:sz w:val="20"/>
          <w:szCs w:val="20"/>
          <w:rtl/>
        </w:rPr>
        <w:t xml:space="preserve">המרכז האקדמי למשפט ולעסקים, חטיבת זכויות האדם נ' שר האוצר</w:t>
      </w:r>
      <w:r>
        <w:rPr>
          <w:rFonts w:ascii="David" w:cs="David" w:eastAsia="David" w:hAnsi="David"/>
          <w:sz w:val="20"/>
          <w:szCs w:val="20"/>
          <w:rt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sz w:val="20"/>
          <w:szCs w:val="20"/>
          <w:rtl/>
        </w:rPr>
        <w:t xml:space="preserve"> בג"ץ 2557/05 </w:t>
      </w:r>
      <w:r>
        <w:rPr>
          <w:rFonts w:ascii="David" w:cs="David" w:eastAsia="David" w:hAnsi="David"/>
          <w:b/>
          <w:bCs/>
          <w:sz w:val="20"/>
          <w:szCs w:val="20"/>
          <w:rtl/>
        </w:rPr>
        <w:t xml:space="preserve">מטה הרוב נ' משטרת ישראל</w:t>
      </w:r>
      <w:r>
        <w:rPr>
          <w:rFonts w:ascii="David" w:cs="David" w:eastAsia="David" w:hAnsi="David"/>
          <w:sz w:val="20"/>
          <w:szCs w:val="20"/>
          <w:rtl/>
        </w:rPr>
        <w:t xml:space="preserve">, פ"ד סב(1) 200 (2006).</w:t>
      </w:r>
    </w:p>
  </w:footnote>
  <w:footnote w:id="48">
    <w:p>
      <w:pPr>
        <w:bidi/>
        <w:spacing w:after="40" w:line="240"/>
        <w:jc w:val="both"/>
      </w:pPr>
      <w:r>
        <w:rPr>
          <w:rStyle w:val="FootnoteReference"/>
        </w:rPr>
        <w:footnoteRef/>
      </w:r>
      <w:r>
        <w:rPr>
          <w:rFonts w:ascii="David" w:cs="David" w:eastAsia="David" w:hAnsi="David"/>
          <w:sz w:val="20"/>
          <w:szCs w:val="20"/>
          <w:rtl/>
        </w:rPr>
        <w:t xml:space="preserve"> בג"ץ 6824/07 </w:t>
      </w:r>
      <w:r>
        <w:rPr>
          <w:rFonts w:ascii="David" w:cs="David" w:eastAsia="David" w:hAnsi="David"/>
          <w:b/>
          <w:bCs/>
          <w:sz w:val="20"/>
          <w:szCs w:val="20"/>
          <w:rtl/>
        </w:rPr>
        <w:t xml:space="preserve">מנאע נ' רשות המסים</w:t>
      </w:r>
      <w:r>
        <w:rPr>
          <w:rFonts w:ascii="David" w:cs="David" w:eastAsia="David" w:hAnsi="David"/>
          <w:sz w:val="20"/>
          <w:szCs w:val="20"/>
          <w:rtl/>
        </w:rPr>
        <w:t xml:space="preserve">, פ"ד סד(2) 479, 525-524 (2010);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5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sz w:val="20"/>
          <w:szCs w:val="20"/>
          <w:rt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sz w:val="20"/>
          <w:szCs w:val="20"/>
          <w:rtl/>
        </w:rPr>
        <w:t xml:space="preserve"> רע"פ 10141/09 </w:t>
      </w:r>
      <w:r>
        <w:rPr>
          <w:rFonts w:ascii="David" w:cs="David" w:eastAsia="David" w:hAnsi="David"/>
          <w:b/>
          <w:bCs/>
          <w:sz w:val="20"/>
          <w:szCs w:val="20"/>
          <w:rtl/>
        </w:rPr>
        <w:t xml:space="preserve">בן חיים נ' מדינת ישראל</w:t>
      </w:r>
      <w:r>
        <w:rPr>
          <w:rFonts w:ascii="David" w:cs="David" w:eastAsia="David" w:hAnsi="David"/>
          <w:sz w:val="20"/>
          <w:szCs w:val="20"/>
          <w:rtl/>
        </w:rPr>
        <w:t xml:space="preserve">, פ"ד סה(3) 305, 330 (2012).</w:t>
      </w:r>
    </w:p>
  </w:footnote>
  <w:footnote w:id="57">
    <w:p>
      <w:pPr>
        <w:bidi/>
        <w:spacing w:after="40" w:line="240"/>
        <w:jc w:val="both"/>
      </w:pPr>
      <w:r>
        <w:rPr>
          <w:rStyle w:val="FootnoteReference"/>
        </w:rPr>
        <w:footnoteRef/>
      </w:r>
      <w:r>
        <w:rPr>
          <w:rFonts w:ascii="David" w:cs="David" w:eastAsia="David" w:hAnsi="David"/>
          <w:sz w:val="20"/>
          <w:szCs w:val="20"/>
          <w:rtl/>
        </w:rPr>
        <w:t xml:space="preserve"> איתי הרמלין "אומרים הסכמה (לחיפוש) יש בעולם. מה זאת הסכמה?" </w:t>
      </w:r>
      <w:r>
        <w:rPr>
          <w:rFonts w:ascii="David" w:cs="David" w:eastAsia="David" w:hAnsi="David"/>
          <w:b/>
          <w:bCs/>
          <w:sz w:val="20"/>
          <w:szCs w:val="20"/>
          <w:rtl/>
        </w:rPr>
        <w:t xml:space="preserve">75 שנות עצמאות במשפט: שופטים מספרים על פסקי דין משבעים וחמש שנות שפיטה</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sz w:val="20"/>
          <w:szCs w:val="20"/>
          <w:rtl/>
        </w:rPr>
        <w:t xml:space="preserve"> הרדוף </w:t>
      </w:r>
      <w:r>
        <w:rPr>
          <w:rFonts w:ascii="David" w:cs="David" w:eastAsia="David" w:hAnsi="David"/>
          <w:b/>
          <w:bCs/>
          <w:sz w:val="20"/>
          <w:szCs w:val="20"/>
          <w:rtl/>
        </w:rPr>
        <w:t xml:space="preserve">סדר הדין הפלילי</w:t>
      </w:r>
      <w:r>
        <w:rPr>
          <w:rFonts w:ascii="David" w:cs="David" w:eastAsia="David" w:hAnsi="David"/>
          <w:sz w:val="20"/>
          <w:szCs w:val="20"/>
          <w:rtl/>
        </w:rPr>
        <w:t xml:space="preserve">, לעיל ה"ש 35.</w:t>
      </w:r>
    </w:p>
  </w:footnote>
  <w:footnote w:id="59">
    <w:p>
      <w:pPr>
        <w:bidi/>
        <w:spacing w:after="40" w:line="240"/>
        <w:jc w:val="both"/>
      </w:pPr>
      <w:r>
        <w:rPr>
          <w:rStyle w:val="FootnoteReference"/>
        </w:rPr>
        <w:footnoteRef/>
      </w:r>
      <w:r>
        <w:rPr>
          <w:rFonts w:ascii="David" w:cs="David" w:eastAsia="David" w:hAnsi="David"/>
          <w:sz w:val="20"/>
          <w:szCs w:val="20"/>
          <w:rtl/>
        </w:rPr>
        <w:t xml:space="preserve"> דנג"ץ 2707/21 </w:t>
      </w:r>
      <w:r>
        <w:rPr>
          <w:rFonts w:ascii="David" w:cs="David" w:eastAsia="David" w:hAnsi="David"/>
          <w:b/>
          <w:bCs/>
          <w:sz w:val="20"/>
          <w:szCs w:val="20"/>
          <w:rtl/>
        </w:rPr>
        <w:t xml:space="preserve">משטרת ישראל נ' עמותת טבקה – צדק ושוויון ליוצאי אתיופיה</w:t>
      </w:r>
      <w:r>
        <w:rPr>
          <w:rFonts w:ascii="David" w:cs="David" w:eastAsia="David" w:hAnsi="David"/>
          <w:sz w:val="20"/>
          <w:szCs w:val="20"/>
          <w:rtl/>
        </w:rPr>
        <w:t xml:space="preserve">, פס' 14-11 (נבו 29.12.2021).</w:t>
      </w:r>
    </w:p>
  </w:footnote>
  <w:footnote w:id="60">
    <w:p>
      <w:pPr>
        <w:bidi/>
        <w:spacing w:after="40" w:line="240"/>
        <w:jc w:val="both"/>
      </w:pPr>
      <w:r>
        <w:rPr>
          <w:rStyle w:val="FootnoteReference"/>
        </w:rPr>
        <w:footnoteRef/>
      </w:r>
      <w:r>
        <w:rPr>
          <w:rFonts w:ascii="David" w:cs="David" w:eastAsia="David" w:hAnsi="David"/>
          <w:sz w:val="20"/>
          <w:szCs w:val="20"/>
          <w:rtl/>
        </w:rPr>
        <w:t xml:space="preserve"> בג"ץ 244/23 </w:t>
      </w:r>
      <w:r>
        <w:rPr>
          <w:rFonts w:ascii="David" w:cs="David" w:eastAsia="David" w:hAnsi="David"/>
          <w:b/>
          <w:bCs/>
          <w:sz w:val="20"/>
          <w:szCs w:val="20"/>
          <w:rtl/>
        </w:rPr>
        <w:t xml:space="preserve">האגודה לזכויות האזרח בישראל נ' משטרת ישראל</w:t>
      </w:r>
      <w:r>
        <w:rPr>
          <w:rFonts w:ascii="David" w:cs="David" w:eastAsia="David" w:hAnsi="David"/>
          <w:sz w:val="20"/>
          <w:szCs w:val="20"/>
          <w:rtl/>
        </w:rPr>
        <w:t xml:space="preserve"> (נבו 14.12.2025).</w:t>
      </w:r>
    </w:p>
  </w:footnote>
  <w:footnote w:id="61">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62">
    <w:p>
      <w:pPr>
        <w:bidi/>
        <w:spacing w:after="40" w:line="240"/>
        <w:jc w:val="both"/>
      </w:pPr>
      <w:r>
        <w:rPr>
          <w:rStyle w:val="FootnoteReference"/>
        </w:rPr>
        <w:footnoteRef/>
      </w:r>
      <w:r>
        <w:rPr>
          <w:rFonts w:ascii="David" w:cs="David" w:eastAsia="David" w:hAnsi="David"/>
          <w:sz w:val="20"/>
          <w:szCs w:val="20"/>
          <w:rtl/>
        </w:rPr>
        <w:t xml:space="preserve"> ע"פ 4855/02 </w:t>
      </w:r>
      <w:r>
        <w:rPr>
          <w:rFonts w:ascii="David" w:cs="David" w:eastAsia="David" w:hAnsi="David"/>
          <w:b/>
          <w:bCs/>
          <w:sz w:val="20"/>
          <w:szCs w:val="20"/>
          <w:rtl/>
        </w:rPr>
        <w:t xml:space="preserve">מדינת ישראל נ' בורוביץ</w:t>
      </w:r>
      <w:r>
        <w:rPr>
          <w:rFonts w:ascii="David" w:cs="David" w:eastAsia="David" w:hAnsi="David"/>
          <w:sz w:val="20"/>
          <w:szCs w:val="20"/>
          <w:rtl/>
        </w:rPr>
        <w:t xml:space="preserve">, פ"ד נט(6) 776 (2005).</w:t>
      </w:r>
    </w:p>
  </w:footnote>
  <w:footnote w:id="63">
    <w:p>
      <w:pPr>
        <w:bidi/>
        <w:spacing w:after="40" w:line="240"/>
        <w:jc w:val="both"/>
      </w:pPr>
      <w:r>
        <w:rPr>
          <w:rStyle w:val="FootnoteReference"/>
        </w:rPr>
        <w:footnoteRef/>
      </w:r>
      <w:r>
        <w:rPr>
          <w:rFonts w:ascii="David" w:cs="David" w:eastAsia="David" w:hAnsi="David"/>
          <w:sz w:val="20"/>
          <w:szCs w:val="20"/>
          <w:rtl/>
        </w:rPr>
        <w:t xml:space="preserve"> ע"פ 6328/12 </w:t>
      </w:r>
      <w:r>
        <w:rPr>
          <w:rFonts w:ascii="David" w:cs="David" w:eastAsia="David" w:hAnsi="David"/>
          <w:b/>
          <w:bCs/>
          <w:sz w:val="20"/>
          <w:szCs w:val="20"/>
          <w:rtl/>
        </w:rPr>
        <w:t xml:space="preserve">מדינת ישראל נ' פרץ</w:t>
      </w:r>
      <w:r>
        <w:rPr>
          <w:rFonts w:ascii="David" w:cs="David" w:eastAsia="David" w:hAnsi="David"/>
          <w:sz w:val="20"/>
          <w:szCs w:val="20"/>
          <w:rtl/>
        </w:rPr>
        <w:t xml:space="preserve"> (נבו 10.9.2013).</w:t>
      </w:r>
    </w:p>
  </w:footnote>
  <w:footnote w:id="64">
    <w:p>
      <w:pPr>
        <w:bidi/>
        <w:spacing w:after="40" w:line="240"/>
        <w:jc w:val="both"/>
      </w:pPr>
      <w:r>
        <w:rPr>
          <w:rStyle w:val="FootnoteReference"/>
        </w:rPr>
        <w:footnoteRef/>
      </w:r>
      <w:r>
        <w:rPr>
          <w:rFonts w:ascii="David" w:cs="David" w:eastAsia="David" w:hAnsi="David"/>
          <w:sz w:val="20"/>
          <w:szCs w:val="20"/>
          <w:rtl/>
        </w:rPr>
        <w:t xml:space="preserve"> בג"ץ 7839/19 </w:t>
      </w:r>
      <w:r>
        <w:rPr>
          <w:rFonts w:ascii="David" w:cs="David" w:eastAsia="David" w:hAnsi="David"/>
          <w:b/>
          <w:bCs/>
          <w:sz w:val="20"/>
          <w:szCs w:val="20"/>
          <w:rtl/>
        </w:rPr>
        <w:t xml:space="preserve">פלוני נ' משטרת ישראל</w:t>
      </w:r>
      <w:r>
        <w:rPr>
          <w:rFonts w:ascii="David" w:cs="David" w:eastAsia="David" w:hAnsi="David"/>
          <w:sz w:val="20"/>
          <w:szCs w:val="20"/>
          <w:rtl/>
        </w:rPr>
        <w:t xml:space="preserve"> (נבו 19.10.2020).</w:t>
      </w:r>
    </w:p>
  </w:footnote>
  <w:footnote w:id="65">
    <w:p>
      <w:pPr>
        <w:bidi/>
        <w:spacing w:after="40" w:line="240"/>
        <w:jc w:val="both"/>
      </w:pPr>
      <w:r>
        <w:rPr>
          <w:rStyle w:val="FootnoteReference"/>
        </w:rPr>
        <w:footnoteRef/>
      </w:r>
      <w:r>
        <w:rPr>
          <w:rFonts w:ascii="David" w:cs="David" w:eastAsia="David" w:hAnsi="David"/>
          <w:sz w:val="20"/>
          <w:szCs w:val="20"/>
          <w:rtl/>
        </w:rPr>
        <w:t xml:space="preserve"> בג"ץ 4475/17 </w:t>
      </w:r>
      <w:r>
        <w:rPr>
          <w:rFonts w:ascii="David" w:cs="David" w:eastAsia="David" w:hAnsi="David"/>
          <w:b/>
          <w:bCs/>
          <w:sz w:val="20"/>
          <w:szCs w:val="20"/>
          <w:rtl/>
        </w:rPr>
        <w:t xml:space="preserve">פרידמן נ' משטרת ישראל</w:t>
      </w:r>
      <w:r>
        <w:rPr>
          <w:rFonts w:ascii="David" w:cs="David" w:eastAsia="David" w:hAnsi="David"/>
          <w:sz w:val="20"/>
          <w:szCs w:val="20"/>
          <w:rtl/>
        </w:rPr>
        <w:t xml:space="preserve"> (נבו 17.2.2019).</w:t>
      </w:r>
    </w:p>
  </w:footnote>
  <w:footnote w:id="6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sz w:val="20"/>
          <w:szCs w:val="20"/>
          <w:rtl/>
        </w:rPr>
        <w:t xml:space="preserve"> ארז פדן "פרקליטות 3.0: הפרקליטות כפי שהייתה, כפי שהינה וכפי שצריכה להיות" </w:t>
      </w:r>
      <w:r>
        <w:rPr>
          <w:rFonts w:ascii="David" w:cs="David" w:eastAsia="David" w:hAnsi="David"/>
          <w:b/>
          <w:bCs/>
          <w:sz w:val="20"/>
          <w:szCs w:val="20"/>
          <w:rtl/>
        </w:rPr>
        <w:t xml:space="preserve">מעשי משפט</w:t>
      </w:r>
      <w:r>
        <w:rPr>
          <w:rFonts w:ascii="David" w:cs="David" w:eastAsia="David" w:hAnsi="David"/>
          <w:sz w:val="20"/>
          <w:szCs w:val="20"/>
          <w:rtl/>
        </w:rPr>
        <w:t xml:space="preserve"> יג 411 (2022).</w:t>
      </w:r>
    </w:p>
  </w:footnote>
  <w:footnote w:id="68">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69">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70">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7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7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8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8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sz w:val="20"/>
          <w:szCs w:val="20"/>
          <w:rtl/>
        </w:rPr>
        <w:t xml:space="preserve"> בג"ץ 8987/22 </w:t>
      </w:r>
      <w:r>
        <w:rPr>
          <w:rFonts w:ascii="David" w:cs="David" w:eastAsia="David" w:hAnsi="David"/>
          <w:b/>
          <w:bCs/>
          <w:sz w:val="20"/>
          <w:szCs w:val="20"/>
          <w:rtl/>
        </w:rPr>
        <w:t xml:space="preserve">התנועה למען איכות השלטון בישראל נ' הכנסת</w:t>
      </w:r>
      <w:r>
        <w:rPr>
          <w:rFonts w:ascii="David" w:cs="David" w:eastAsia="David" w:hAnsi="David"/>
          <w:sz w:val="20"/>
          <w:szCs w:val="20"/>
          <w:rtl/>
        </w:rPr>
        <w:t xml:space="preserve"> (נבו 2.1.2025).</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86">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87">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sz w:val="20"/>
          <w:szCs w:val="20"/>
          <w:rtl/>
        </w:rPr>
        <w:t xml:space="preserve"> שי שטרן </w:t>
      </w:r>
      <w:r>
        <w:rPr>
          <w:rFonts w:ascii="David" w:cs="David" w:eastAsia="David" w:hAnsi="David"/>
          <w:b/>
          <w:bCs/>
          <w:sz w:val="20"/>
          <w:szCs w:val="20"/>
          <w:rtl/>
        </w:rPr>
        <w:t xml:space="preserve">קהילות במשפט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(2026).</w:t>
      </w:r>
    </w:p>
  </w:footnote>
  <w:footnote w:id="89">
    <w:p>
      <w:pPr>
        <w:bidi/>
        <w:spacing w:after="40" w:line="240"/>
        <w:jc w:val="both"/>
      </w:pPr>
      <w:r>
        <w:rPr>
          <w:rStyle w:val="FootnoteReference"/>
        </w:rPr>
        <w:footnoteRef/>
      </w:r>
      <w:r>
        <w:rPr>
          <w:rFonts w:ascii="David" w:cs="David" w:eastAsia="David" w:hAnsi="David"/>
          <w:sz w:val="20"/>
          <w:szCs w:val="20"/>
          <w:rtl/>
        </w:rPr>
        <w:t xml:space="preserve"> בג"ץ 1386/22 </w:t>
      </w:r>
      <w:r>
        <w:rPr>
          <w:rFonts w:ascii="David" w:cs="David" w:eastAsia="David" w:hAnsi="David"/>
          <w:b/>
          <w:bCs/>
          <w:sz w:val="20"/>
          <w:szCs w:val="20"/>
          <w:rtl/>
        </w:rPr>
        <w:t xml:space="preserve">דיאב נ' מפכ"ל משטרת ישראל</w:t>
      </w:r>
      <w:r>
        <w:rPr>
          <w:rFonts w:ascii="David" w:cs="David" w:eastAsia="David" w:hAnsi="David"/>
          <w:sz w:val="20"/>
          <w:szCs w:val="20"/>
          <w:rtl/>
        </w:rPr>
        <w:t xml:space="preserve"> (נבו 7.11.2022); בג"ץ 5442/23 </w:t>
      </w:r>
      <w:r>
        <w:rPr>
          <w:rFonts w:ascii="David" w:cs="David" w:eastAsia="David" w:hAnsi="David"/>
          <w:b/>
          <w:bCs/>
          <w:sz w:val="20"/>
          <w:szCs w:val="20"/>
          <w:rtl/>
        </w:rPr>
        <w:t xml:space="preserve">עבאס נ' מפכ"ל משטרת ישראל</w:t>
      </w:r>
      <w:r>
        <w:rPr>
          <w:rFonts w:ascii="David" w:cs="David" w:eastAsia="David" w:hAnsi="David"/>
          <w:sz w:val="20"/>
          <w:szCs w:val="20"/>
          <w:rtl/>
        </w:rPr>
        <w:t xml:space="preserve"> (נבו 20.7.2023).</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9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27, בס' 1.4.1-1.4.2.</w:t>
      </w:r>
    </w:p>
  </w:footnote>
  <w:footnote w:id="9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9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95">
    <w:p>
      <w:pPr>
        <w:bidi/>
        <w:spacing w:after="40" w:line="240"/>
        <w:jc w:val="both"/>
      </w:pPr>
      <w:r>
        <w:rPr>
          <w:rStyle w:val="FootnoteReference"/>
        </w:rPr>
        <w:footnoteRef/>
      </w:r>
      <w:r>
        <w:rPr>
          <w:rFonts w:ascii="David" w:cs="David" w:eastAsia="David" w:hAnsi="David"/>
          <w:sz w:val="20"/>
          <w:szCs w:val="20"/>
          <w:rt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sz w:val="20"/>
          <w:szCs w:val="20"/>
          <w:rt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sz w:val="20"/>
          <w:szCs w:val="20"/>
          <w:rtl/>
        </w:rPr>
        <w:t xml:space="preserve"> רון שפירא, איתי ברסלר-גונן ואילנית הלל </w:t>
      </w:r>
      <w:r>
        <w:rPr>
          <w:rFonts w:ascii="David" w:cs="David" w:eastAsia="David" w:hAnsi="David"/>
          <w:b/>
          <w:bCs/>
          <w:sz w:val="20"/>
          <w:szCs w:val="20"/>
          <w:rtl/>
        </w:rPr>
        <w:t xml:space="preserve">הליכי מעצר: מורה נבוכים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(2025).</w:t>
      </w:r>
    </w:p>
  </w:footnote>
  <w:footnote w:id="98">
    <w:p>
      <w:pPr>
        <w:bidi/>
        <w:spacing w:after="40" w:line="240"/>
        <w:jc w:val="both"/>
      </w:pPr>
      <w:r>
        <w:rPr>
          <w:rStyle w:val="FootnoteReference"/>
        </w:rPr>
        <w:footnoteRef/>
      </w:r>
      <w:r>
        <w:rPr>
          <w:rFonts w:ascii="David" w:cs="David" w:eastAsia="David" w:hAnsi="David"/>
          <w:sz w:val="20"/>
          <w:szCs w:val="20"/>
          <w:rtl/>
        </w:rPr>
        <w:t xml:space="preserve"> ע"פ 2482/22 </w:t>
      </w:r>
      <w:r>
        <w:rPr>
          <w:rFonts w:ascii="David" w:cs="David" w:eastAsia="David" w:hAnsi="David"/>
          <w:b/>
          <w:bCs/>
          <w:sz w:val="20"/>
          <w:szCs w:val="20"/>
          <w:rtl/>
        </w:rPr>
        <w:t xml:space="preserve">מדינת ישראל נ' קדורה</w:t>
      </w:r>
      <w:r>
        <w:rPr>
          <w:rFonts w:ascii="David" w:cs="David" w:eastAsia="David" w:hAnsi="David"/>
          <w:sz w:val="20"/>
          <w:szCs w:val="20"/>
          <w:rtl/>
        </w:rPr>
        <w:t xml:space="preserve"> (נבו 14.4.2022); ע"פ 2165/23 </w:t>
      </w:r>
      <w:r>
        <w:rPr>
          <w:rFonts w:ascii="David" w:cs="David" w:eastAsia="David" w:hAnsi="David"/>
          <w:b/>
          <w:bCs/>
          <w:sz w:val="20"/>
          <w:szCs w:val="20"/>
          <w:rtl/>
        </w:rPr>
        <w:t xml:space="preserve">מדינת ישראל נ' בלאל</w:t>
      </w:r>
      <w:r>
        <w:rPr>
          <w:rFonts w:ascii="David" w:cs="David" w:eastAsia="David" w:hAnsi="David"/>
          <w:sz w:val="20"/>
          <w:szCs w:val="20"/>
          <w:rtl/>
        </w:rPr>
        <w:t xml:space="preserve"> (נבו 4.5.2023); ע"פ 4406/19 </w:t>
      </w:r>
      <w:r>
        <w:rPr>
          <w:rFonts w:ascii="David" w:cs="David" w:eastAsia="David" w:hAnsi="David"/>
          <w:b/>
          <w:bCs/>
          <w:sz w:val="20"/>
          <w:szCs w:val="20"/>
          <w:rtl/>
        </w:rPr>
        <w:t xml:space="preserve">מדינת ישראל נ' סובח</w:t>
      </w:r>
      <w:r>
        <w:rPr>
          <w:rFonts w:ascii="David" w:cs="David" w:eastAsia="David" w:hAnsi="David"/>
          <w:sz w:val="20"/>
          <w:szCs w:val="20"/>
          <w:rtl/>
        </w:rPr>
        <w:t xml:space="preserve"> (נבו 5.11.2019).</w:t>
      </w:r>
    </w:p>
  </w:footnote>
  <w:footnote w:id="99">
    <w:p>
      <w:pPr>
        <w:bidi/>
        <w:spacing w:after="40" w:line="240"/>
        <w:jc w:val="both"/>
      </w:pPr>
      <w:r>
        <w:rPr>
          <w:rStyle w:val="FootnoteReference"/>
        </w:rPr>
        <w:footnoteRef/>
      </w:r>
      <w:r>
        <w:rPr>
          <w:rFonts w:ascii="David" w:cs="David" w:eastAsia="David" w:hAnsi="David"/>
          <w:sz w:val="20"/>
          <w:szCs w:val="20"/>
          <w:rtl/>
        </w:rPr>
        <w:t xml:space="preserve"> ת"פ (שלום חד') 34366-04-24 </w:t>
      </w:r>
      <w:r>
        <w:rPr>
          <w:rFonts w:ascii="David" w:cs="David" w:eastAsia="David" w:hAnsi="David"/>
          <w:b/>
          <w:bCs/>
          <w:sz w:val="20"/>
          <w:szCs w:val="20"/>
          <w:rtl/>
        </w:rPr>
        <w:t xml:space="preserve">מדינת ישראל נ' אוסיפוב</w:t>
      </w:r>
      <w:r>
        <w:rPr>
          <w:rFonts w:ascii="David" w:cs="David" w:eastAsia="David" w:hAnsi="David"/>
          <w:sz w:val="20"/>
          <w:szCs w:val="20"/>
          <w:rtl/>
        </w:rPr>
        <w:t xml:space="preserve"> (נבו 6.3.2025).</w:t>
      </w:r>
    </w:p>
  </w:footnote>
  <w:footnote w:id="10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w:t>
      </w:r>
    </w:p>
  </w:footnote>
  <w:footnote w:id="10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10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0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32, בעמ' 1718-1719.</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10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sz w:val="20"/>
          <w:szCs w:val="20"/>
          <w:rtl/>
        </w:rPr>
        <w:t xml:space="preserve"> רינת קיטאי סנג'רו </w:t>
      </w:r>
      <w:r>
        <w:rPr>
          <w:rFonts w:ascii="David" w:cs="David" w:eastAsia="David" w:hAnsi="David"/>
          <w:b/>
          <w:bCs/>
          <w:sz w:val="20"/>
          <w:szCs w:val="20"/>
          <w:rtl/>
        </w:rPr>
        <w:t xml:space="preserve">הזכות לאי-הפללה עצמית</w:t>
      </w:r>
      <w:r>
        <w:rPr>
          <w:rFonts w:ascii="David" w:cs="David" w:eastAsia="David" w:hAnsi="David"/>
          <w:sz w:val="20"/>
          <w:szCs w:val="20"/>
          <w:rtl w:val="false"/>
        </w:rPr>
        <w:t xml:space="preserve"> 275 (2026).</w:t>
      </w:r>
    </w:p>
  </w:footnote>
  <w:footnote w:id="116">
    <w:p>
      <w:pPr>
        <w:bidi/>
        <w:spacing w:after="40" w:line="240"/>
        <w:jc w:val="both"/>
      </w:pPr>
      <w:r>
        <w:rPr>
          <w:rStyle w:val="FootnoteReference"/>
        </w:rPr>
        <w:footnoteRef/>
      </w:r>
      <w:r>
        <w:rPr>
          <w:rFonts w:ascii="David" w:cs="David" w:eastAsia="David" w:hAnsi="David"/>
          <w:sz w:val="20"/>
          <w:szCs w:val="20"/>
          <w:rt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sz w:val="20"/>
          <w:szCs w:val="20"/>
          <w:rtl/>
        </w:rPr>
        <w:t xml:space="preserve">מעשי משפט</w:t>
      </w:r>
      <w:r>
        <w:rPr>
          <w:rFonts w:ascii="David" w:cs="David" w:eastAsia="David" w:hAnsi="David"/>
          <w:sz w:val="20"/>
          <w:szCs w:val="20"/>
          <w:rtl/>
        </w:rPr>
        <w:t xml:space="preserve"> יד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(2023).</w:t>
      </w:r>
    </w:p>
  </w:footnote>
  <w:footnote w:id="117">
    <w:p>
      <w:pPr>
        <w:bidi/>
        <w:spacing w:after="40" w:line="240"/>
        <w:jc w:val="both"/>
      </w:pPr>
      <w:r>
        <w:rPr>
          <w:rStyle w:val="FootnoteReference"/>
        </w:rPr>
        <w:footnoteRef/>
      </w:r>
      <w:r>
        <w:rPr>
          <w:rFonts w:ascii="David" w:cs="David" w:eastAsia="David" w:hAnsi="David"/>
          <w:sz w:val="20"/>
          <w:szCs w:val="20"/>
          <w:rtl/>
        </w:rPr>
        <w:t xml:space="preserve"> שי דרומי "מה המחיר של החופש להפגין? ההגנה על זכות ההפגנה בדיני הנזיקין"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כ 207, 234 (2025).</w:t>
      </w:r>
    </w:p>
  </w:footnote>
  <w:footnote w:id="118">
    <w:p>
      <w:pPr>
        <w:bidi/>
        <w:spacing w:after="40" w:line="240"/>
        <w:jc w:val="both"/>
      </w:pPr>
      <w:r>
        <w:rPr>
          <w:rStyle w:val="FootnoteReference"/>
        </w:rPr>
        <w:footnoteRef/>
      </w:r>
      <w:r>
        <w:rPr>
          <w:rFonts w:ascii="David" w:cs="David" w:eastAsia="David" w:hAnsi="David"/>
          <w:sz w:val="20"/>
          <w:szCs w:val="20"/>
          <w:rtl/>
        </w:rPr>
        <w:t xml:space="preserve"> דפנה ברק-ארז </w:t>
      </w:r>
      <w:r>
        <w:rPr>
          <w:rFonts w:ascii="David" w:cs="David" w:eastAsia="David" w:hAnsi="David"/>
          <w:b/>
          <w:bCs/>
          <w:sz w:val="20"/>
          <w:szCs w:val="20"/>
          <w:rtl/>
        </w:rPr>
        <w:t xml:space="preserve">משפט מינהלי</w:t>
      </w:r>
      <w:r>
        <w:rPr>
          <w:rFonts w:ascii="David" w:cs="David" w:eastAsia="David" w:hAnsi="David"/>
          <w:sz w:val="20"/>
          <w:szCs w:val="20"/>
          <w:rtl/>
        </w:rPr>
        <w:t xml:space="preserve"> כרך א 573 (2010); בג"ץ 64/91 </w:t>
      </w:r>
      <w:r>
        <w:rPr>
          <w:rFonts w:ascii="David" w:cs="David" w:eastAsia="David" w:hAnsi="David"/>
          <w:b/>
          <w:bCs/>
          <w:sz w:val="20"/>
          <w:szCs w:val="20"/>
          <w:rtl/>
        </w:rPr>
        <w:t xml:space="preserve">חילף נ' משטרת ישראל</w:t>
      </w:r>
      <w:r>
        <w:rPr>
          <w:rFonts w:ascii="David" w:cs="David" w:eastAsia="David" w:hAnsi="David"/>
          <w:sz w:val="20"/>
          <w:szCs w:val="20"/>
          <w:rtl/>
        </w:rPr>
        <w:t xml:space="preserve">, פ"ד מז(5) 653 (1993).</w:t>
      </w:r>
    </w:p>
  </w:footnote>
  <w:footnote w:id="119">
    <w:p>
      <w:pPr>
        <w:bidi/>
        <w:spacing w:after="40" w:line="240"/>
        <w:jc w:val="both"/>
      </w:pPr>
      <w:r>
        <w:rPr>
          <w:rStyle w:val="FootnoteReference"/>
        </w:rPr>
        <w:footnoteRef/>
      </w:r>
      <w:r>
        <w:rPr>
          <w:rFonts w:ascii="David" w:cs="David" w:eastAsia="David" w:hAnsi="David"/>
          <w:sz w:val="20"/>
          <w:szCs w:val="20"/>
          <w:rtl/>
        </w:rPr>
        <w:t xml:space="preserve"> ברק-ארז, לעיל ה"ש 118, בעמ' 574.</w:t>
      </w:r>
    </w:p>
  </w:footnote>
  <w:footnote w:id="120">
    <w:p>
      <w:pPr>
        <w:bidi/>
        <w:spacing w:after="40" w:line="240"/>
        <w:jc w:val="both"/>
      </w:pPr>
      <w:r>
        <w:rPr>
          <w:rStyle w:val="FootnoteReference"/>
        </w:rPr>
        <w:footnoteRef/>
      </w:r>
      <w:r>
        <w:rPr>
          <w:rFonts w:ascii="David" w:cs="David" w:eastAsia="David" w:hAnsi="David"/>
          <w:sz w:val="20"/>
          <w:szCs w:val="20"/>
          <w:rtl/>
        </w:rPr>
        <w:t xml:space="preserve"> אסף הרדוף "זכות מפלה ופריווילגיות של מדינה: חיסיון לטובת הציבור ונסיגה לטובת התקפה" </w:t>
      </w:r>
      <w:r>
        <w:rPr>
          <w:rFonts w:ascii="David" w:cs="David" w:eastAsia="David" w:hAnsi="David"/>
          <w:b/>
          <w:bCs/>
          <w:sz w:val="20"/>
          <w:szCs w:val="20"/>
          <w:rtl/>
        </w:rPr>
        <w:t xml:space="preserve">מחקרי 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(2023).</w:t>
      </w:r>
    </w:p>
  </w:footnote>
  <w:footnote w:id="121">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593.</w:t>
      </w:r>
    </w:p>
  </w:footnote>
  <w:footnote w:id="12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23">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124">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12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26">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12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2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29">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30">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3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233.</w:t>
      </w:r>
    </w:p>
  </w:footnote>
  <w:footnote w:id="132">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33">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34">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3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36">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3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13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3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4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1">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42">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43">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129, בעמ' 279; וייסבורד ואחרים "סל עבירות פע"ר", לעיל ה"ש 124, בעמ' 167.</w:t>
      </w:r>
    </w:p>
  </w:footnote>
  <w:footnote w:id="14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243.</w:t>
      </w:r>
    </w:p>
  </w:footnote>
  <w:footnote w:id="14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46">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47">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4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4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Brown v. Texas‎</w:t>
      </w:r>
      <w:r>
        <w:rPr>
          <w:rFonts w:ascii="David" w:cs="David" w:eastAsia="David" w:hAnsi="David"/>
          <w:sz w:val="20"/>
          <w:szCs w:val="20"/>
          <w:rtl w:val="false"/>
        </w:rPr>
        <w:t xml:space="preserve">, 443 U.S. 47 (1979).‎</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Mendenhall‎</w:t>
      </w:r>
      <w:r>
        <w:rPr>
          <w:rFonts w:ascii="David" w:cs="David" w:eastAsia="David" w:hAnsi="David"/>
          <w:sz w:val="20"/>
          <w:szCs w:val="20"/>
          <w:rtl w:val="false"/>
        </w:rPr>
        <w:t xml:space="preserve">, 446 U.S. 544, 554 (1980).‎</w:t>
      </w:r>
    </w:p>
  </w:footnote>
  <w:footnote w:id="15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Miranda v. Arizona‎</w:t>
      </w:r>
      <w:r>
        <w:rPr>
          <w:rFonts w:ascii="David" w:cs="David" w:eastAsia="David" w:hAnsi="David"/>
          <w:sz w:val="20"/>
          <w:szCs w:val="20"/>
          <w:rtl/>
        </w:rPr>
        <w:t xml:space="preserve">, </w:t>
      </w:r>
      <w:r>
        <w:rPr>
          <w:rFonts w:ascii="David" w:cs="David" w:eastAsia="David" w:hAnsi="David"/>
          <w:sz w:val="20"/>
          <w:szCs w:val="20"/>
          <w:rtl w:val="false"/>
        </w:rPr>
        <w:t xml:space="preserve">384 U.S. 436 (1966)‎</w:t>
      </w:r>
      <w:r>
        <w:rPr>
          <w:rFonts w:ascii="David" w:cs="David" w:eastAsia="David" w:hAnsi="David"/>
          <w:sz w:val="20"/>
          <w:szCs w:val="20"/>
          <w:rtl/>
        </w:rPr>
        <w:t xml:space="preserve">; קיטאי סנג'רו, לעיל ה"ש 115, בעמ' 272.</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55">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56">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57">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58">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5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6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White v. Beasley‎</w:t>
      </w:r>
      <w:r>
        <w:rPr>
          <w:rFonts w:ascii="David" w:cs="David" w:eastAsia="David" w:hAnsi="David"/>
          <w:sz w:val="20"/>
          <w:szCs w:val="20"/>
          <w:rtl w:val="false"/>
        </w:rPr>
        <w:t xml:space="preserve">, 453 Mich. 308 (1996); ‎</w:t>
      </w:r>
      <w:r>
        <w:rPr>
          <w:rFonts w:ascii="David" w:cs="David" w:eastAsia="David" w:hAnsi="David"/>
          <w:i/>
          <w:iCs/>
          <w:sz w:val="20"/>
          <w:szCs w:val="20"/>
          <w:rtl w:val="false"/>
        </w:rPr>
        <w:t xml:space="preserve">Cuffy v. City of New York‎</w:t>
      </w:r>
      <w:r>
        <w:rPr>
          <w:rFonts w:ascii="David" w:cs="David" w:eastAsia="David" w:hAnsi="David"/>
          <w:sz w:val="20"/>
          <w:szCs w:val="20"/>
          <w:rtl/>
        </w:rPr>
        <w:t xml:space="preserve">, </w:t>
      </w:r>
      <w:r>
        <w:rPr>
          <w:rFonts w:ascii="David" w:cs="David" w:eastAsia="David" w:hAnsi="David"/>
          <w:sz w:val="20"/>
          <w:szCs w:val="20"/>
          <w:rtl w:val="false"/>
        </w:rPr>
        <w:t xml:space="preserve">69 N.Y.2d 255 (1987)‎</w:t>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163-162 (התשפ"ד).</w:t>
      </w:r>
    </w:p>
  </w:footnote>
  <w:footnote w:id="162">
    <w:p>
      <w:pPr>
        <w:bidi/>
        <w:spacing w:after="40" w:line="240"/>
        <w:jc w:val="both"/>
      </w:pPr>
      <w:r>
        <w:rPr>
          <w:rStyle w:val="FootnoteReference"/>
        </w:rPr>
        <w:footnoteRef/>
      </w:r>
      <w:r>
        <w:rPr>
          <w:rFonts w:ascii="David" w:cs="David" w:eastAsia="David" w:hAnsi="David"/>
          <w:sz w:val="20"/>
          <w:szCs w:val="20"/>
          <w:rtl/>
        </w:rPr>
        <w:t xml:space="preserve"> סגל, לעיל ה"ש 161, בעמ' 155.</w:t>
      </w:r>
    </w:p>
  </w:footnote>
  <w:footnote w:id="163">
    <w:p>
      <w:pPr>
        <w:bidi/>
        <w:spacing w:after="40" w:line="240"/>
        <w:jc w:val="both"/>
      </w:pPr>
      <w:r>
        <w:rPr>
          <w:rStyle w:val="FootnoteReference"/>
        </w:rPr>
        <w:footnoteRef/>
      </w:r>
      <w:r>
        <w:rPr>
          <w:rFonts w:ascii="David" w:cs="David" w:eastAsia="David" w:hAnsi="David"/>
          <w:sz w:val="20"/>
          <w:szCs w:val="20"/>
          <w:rtl/>
        </w:rPr>
        <w:t xml:space="preserve"> ישראל גלעד </w:t>
      </w:r>
      <w:r>
        <w:rPr>
          <w:rFonts w:ascii="David" w:cs="David" w:eastAsia="David" w:hAnsi="David"/>
          <w:b/>
          <w:bCs/>
          <w:sz w:val="20"/>
          <w:szCs w:val="20"/>
          <w:rtl/>
        </w:rPr>
        <w:t xml:space="preserve">דיני נזיקין: גבולות האחריות</w:t>
      </w:r>
      <w:r>
        <w:rPr>
          <w:rFonts w:ascii="David" w:cs="David" w:eastAsia="David" w:hAnsi="David"/>
          <w:sz w:val="20"/>
          <w:szCs w:val="20"/>
          <w:rtl/>
        </w:rPr>
        <w:t xml:space="preserve"> כרך ב 1069 (2012).</w:t>
      </w:r>
    </w:p>
  </w:footnote>
  <w:footnote w:id="16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w:t>
      </w:r>
      <w:r>
        <w:rPr>
          <w:rFonts w:ascii="David" w:cs="David" w:eastAsia="David" w:hAnsi="David"/>
          <w:sz w:val="20"/>
          <w:szCs w:val="20"/>
          <w:rtl w:val="false"/>
        </w:rPr>
        <w:t xml:space="preserve">2.2B.‎</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5.1-5.4.</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70">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71">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7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73">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74">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75">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76">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77">
    <w:p>
      <w:pPr>
        <w:bidi/>
        <w:spacing w:after="40" w:line="240"/>
        <w:jc w:val="both"/>
      </w:pPr>
      <w:r>
        <w:rPr>
          <w:rStyle w:val="FootnoteReference"/>
        </w:rPr>
        <w:footnoteRef/>
      </w:r>
      <w:r>
        <w:rPr>
          <w:rFonts w:ascii="David" w:cs="David" w:eastAsia="David" w:hAnsi="David"/>
          <w:sz w:val="20"/>
          <w:szCs w:val="20"/>
          <w:rtl/>
        </w:rPr>
        <w:t xml:space="preserve"> סגל, לעיל ה"ש 161, בעמ' 132-131; </w:t>
      </w:r>
      <w:r>
        <w:rPr>
          <w:rFonts w:ascii="David" w:cs="David" w:eastAsia="David" w:hAnsi="David"/>
          <w:i/>
          <w:iCs/>
          <w:sz w:val="20"/>
          <w:szCs w:val="20"/>
          <w:rtl w:val="false"/>
        </w:rPr>
        <w:t xml:space="preserve">Hill v. Chief Constable of West Yorkshire‎</w:t>
      </w:r>
      <w:r>
        <w:rPr>
          <w:rFonts w:ascii="David" w:cs="David" w:eastAsia="David" w:hAnsi="David"/>
          <w:sz w:val="20"/>
          <w:szCs w:val="20"/>
          <w:rtl w:val="false"/>
        </w:rPr>
        <w:t xml:space="preserve"> [1989] AC 53 (HL).‎</w:t>
      </w:r>
    </w:p>
  </w:footnote>
  <w:footnote w:id="178">
    <w:p>
      <w:pPr>
        <w:bidi/>
        <w:spacing w:after="40" w:line="240"/>
        <w:jc w:val="both"/>
      </w:pPr>
      <w:r>
        <w:rPr>
          <w:rStyle w:val="FootnoteReference"/>
        </w:rPr>
        <w:footnoteRef/>
      </w:r>
      <w:r>
        <w:rPr>
          <w:rFonts w:ascii="David" w:cs="David" w:eastAsia="David" w:hAnsi="David"/>
          <w:sz w:val="20"/>
          <w:szCs w:val="20"/>
          <w:rtl/>
        </w:rPr>
        <w:t xml:space="preserve"> גלעד, לעיל ה"ש 163, בעמ' 1089-1086.</w:t>
      </w:r>
    </w:p>
  </w:footnote>
  <w:footnote w:id="17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Rigby v. Chief Constable of Northamptonshire‎</w:t>
      </w:r>
      <w:r>
        <w:rPr>
          <w:rFonts w:ascii="David" w:cs="David" w:eastAsia="David" w:hAnsi="David"/>
          <w:sz w:val="20"/>
          <w:szCs w:val="20"/>
          <w:rtl/>
        </w:rPr>
        <w:t xml:space="preserve"> </w:t>
      </w:r>
      <w:r>
        <w:rPr>
          <w:rFonts w:ascii="David" w:cs="David" w:eastAsia="David" w:hAnsi="David"/>
          <w:sz w:val="20"/>
          <w:szCs w:val="20"/>
          <w:rtl w:val="false"/>
        </w:rPr>
        <w:t xml:space="preserve">[1985] 1 WLR 1242 (QB)‎</w:t>
      </w:r>
      <w:r>
        <w:rPr>
          <w:rFonts w:ascii="David" w:cs="David" w:eastAsia="David" w:hAnsi="David"/>
          <w:sz w:val="20"/>
          <w:szCs w:val="20"/>
          <w:rtl/>
        </w:rPr>
        <w:t xml:space="preserve">; גלעד, לעיל ה"ש 163, בעמ' 1085.</w:t>
      </w:r>
    </w:p>
  </w:footnote>
  <w:footnote w:id="18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Kirkham v. Chief Constable of the Greater Manchester Police‎</w:t>
      </w:r>
      <w:r>
        <w:rPr>
          <w:rFonts w:ascii="David" w:cs="David" w:eastAsia="David" w:hAnsi="David"/>
          <w:sz w:val="20"/>
          <w:szCs w:val="20"/>
          <w:rtl/>
        </w:rPr>
        <w:t xml:space="preserve"> </w:t>
      </w:r>
      <w:r>
        <w:rPr>
          <w:rFonts w:ascii="David" w:cs="David" w:eastAsia="David" w:hAnsi="David"/>
          <w:sz w:val="20"/>
          <w:szCs w:val="20"/>
          <w:rtl w:val="false"/>
        </w:rPr>
        <w:t xml:space="preserve">[1990] 2 WLR 987 (CA)‎</w:t>
      </w:r>
      <w:r>
        <w:rPr>
          <w:rFonts w:ascii="David" w:cs="David" w:eastAsia="David" w:hAnsi="David"/>
          <w:sz w:val="20"/>
          <w:szCs w:val="20"/>
          <w:rtl/>
        </w:rPr>
        <w:t xml:space="preserve">; סגל, לעיל ה"ש 161, בעמ' 181.</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83">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18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174, בעמ' 6.</w:t>
      </w:r>
    </w:p>
  </w:footnote>
  <w:footnote w:id="18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6">
    <w:p>
      <w:pPr>
        <w:bidi/>
        <w:spacing w:after="40" w:line="240"/>
        <w:jc w:val="both"/>
      </w:pPr>
      <w:r>
        <w:rPr>
          <w:rStyle w:val="FootnoteReference"/>
        </w:rPr>
        <w:footnoteRef/>
      </w:r>
      <w:r>
        <w:rPr>
          <w:rFonts w:ascii="David" w:cs="David" w:eastAsia="David" w:hAnsi="David"/>
          <w:sz w:val="20"/>
          <w:szCs w:val="20"/>
          <w:rtl/>
        </w:rPr>
        <w:t xml:space="preserve"> סגל, לעיל ה"ש 161, בעמ' 156.</w:t>
      </w:r>
    </w:p>
  </w:footnote>
  <w:footnote w:id="187">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 ע"א 1678/01 </w:t>
      </w:r>
      <w:r>
        <w:rPr>
          <w:rFonts w:ascii="David" w:cs="David" w:eastAsia="David" w:hAnsi="David"/>
          <w:b/>
          <w:bCs/>
          <w:sz w:val="20"/>
          <w:szCs w:val="20"/>
          <w:rtl/>
        </w:rPr>
        <w:t xml:space="preserve">מדינת ישראל נ' וייס</w:t>
      </w:r>
      <w:r>
        <w:rPr>
          <w:rFonts w:ascii="David" w:cs="David" w:eastAsia="David" w:hAnsi="David"/>
          <w:sz w:val="20"/>
          <w:szCs w:val="20"/>
          <w:rtl/>
        </w:rPr>
        <w:t xml:space="preserve">, פ"ד נח(5) 167, 181 (2004).</w:t>
      </w:r>
    </w:p>
  </w:footnote>
  <w:footnote w:id="188">
    <w:p>
      <w:pPr>
        <w:bidi/>
        <w:spacing w:after="40" w:line="240"/>
        <w:jc w:val="both"/>
      </w:pPr>
      <w:r>
        <w:rPr>
          <w:rStyle w:val="FootnoteReference"/>
        </w:rPr>
        <w:footnoteRef/>
      </w:r>
      <w:r>
        <w:rPr>
          <w:rFonts w:ascii="David" w:cs="David" w:eastAsia="David" w:hAnsi="David"/>
          <w:sz w:val="20"/>
          <w:szCs w:val="20"/>
          <w:rtl/>
        </w:rPr>
        <w:t xml:space="preserve"> ס' 3 לחוק הנזיקים האזרחיים (אחריות המדינה), התשי"ב–1952; סגל, לעיל ה"ש 161, בעמ' 141.</w:t>
      </w:r>
    </w:p>
  </w:footnote>
  <w:footnote w:id="189">
    <w:p>
      <w:pPr>
        <w:bidi/>
        <w:spacing w:after="40" w:line="240"/>
        <w:jc w:val="both"/>
      </w:pPr>
      <w:r>
        <w:rPr>
          <w:rStyle w:val="FootnoteReference"/>
        </w:rPr>
        <w:footnoteRef/>
      </w:r>
      <w:r>
        <w:rPr>
          <w:rFonts w:ascii="David" w:cs="David" w:eastAsia="David" w:hAnsi="David"/>
          <w:sz w:val="20"/>
          <w:szCs w:val="20"/>
          <w:rtl/>
        </w:rPr>
        <w:t xml:space="preserve"> ע"א 2394/18 </w:t>
      </w:r>
      <w:r>
        <w:rPr>
          <w:rFonts w:ascii="David" w:cs="David" w:eastAsia="David" w:hAnsi="David"/>
          <w:b/>
          <w:bCs/>
          <w:sz w:val="20"/>
          <w:szCs w:val="20"/>
          <w:rtl/>
        </w:rPr>
        <w:t xml:space="preserve">פלונים נ' משטרת ישראל</w:t>
      </w:r>
      <w:r>
        <w:rPr>
          <w:rFonts w:ascii="David" w:cs="David" w:eastAsia="David" w:hAnsi="David"/>
          <w:sz w:val="20"/>
          <w:szCs w:val="20"/>
          <w:rtl/>
        </w:rPr>
        <w:t xml:space="preserve"> (נבו 10.4.2019); סגל, לעיל ה"ש 161, בעמ' 209.</w:t>
      </w:r>
    </w:p>
  </w:footnote>
  <w:footnote w:id="190">
    <w:p>
      <w:pPr>
        <w:bidi/>
        <w:spacing w:after="40" w:line="240"/>
        <w:jc w:val="both"/>
      </w:pPr>
      <w:r>
        <w:rPr>
          <w:rStyle w:val="FootnoteReference"/>
        </w:rPr>
        <w:footnoteRef/>
      </w:r>
      <w:r>
        <w:rPr>
          <w:rFonts w:ascii="David" w:cs="David" w:eastAsia="David" w:hAnsi="David"/>
          <w:sz w:val="20"/>
          <w:szCs w:val="20"/>
          <w:rtl/>
        </w:rPr>
        <w:t xml:space="preserve"> גלעד, לעיל ה"ש 163, בעמ' 1062.</w:t>
      </w:r>
    </w:p>
  </w:footnote>
  <w:footnote w:id="191">
    <w:p>
      <w:pPr>
        <w:bidi/>
        <w:spacing w:after="40" w:line="240"/>
        <w:jc w:val="both"/>
      </w:pPr>
      <w:r>
        <w:rPr>
          <w:rStyle w:val="FootnoteReference"/>
        </w:rPr>
        <w:footnoteRef/>
      </w:r>
      <w:r>
        <w:rPr>
          <w:rFonts w:ascii="David" w:cs="David" w:eastAsia="David" w:hAnsi="David"/>
          <w:sz w:val="20"/>
          <w:szCs w:val="20"/>
          <w:rtl/>
        </w:rPr>
        <w:t xml:space="preserve"> דרומי, לעיל ה"ש 117, בעמ' 227.</w:t>
      </w:r>
    </w:p>
  </w:footnote>
  <w:footnote w:id="192">
    <w:p>
      <w:pPr>
        <w:bidi/>
        <w:spacing w:after="40" w:line="240"/>
        <w:jc w:val="both"/>
      </w:pPr>
      <w:r>
        <w:rPr>
          <w:rStyle w:val="FootnoteReference"/>
        </w:rPr>
        <w:footnoteRef/>
      </w:r>
      <w:r>
        <w:rPr>
          <w:rFonts w:ascii="David" w:cs="David" w:eastAsia="David" w:hAnsi="David"/>
          <w:sz w:val="20"/>
          <w:szCs w:val="20"/>
          <w:rtl/>
        </w:rPr>
        <w:t xml:space="preserve"> אהרן ברק </w:t>
      </w:r>
      <w:r>
        <w:rPr>
          <w:rFonts w:ascii="David" w:cs="David" w:eastAsia="David" w:hAnsi="David"/>
          <w:b/>
          <w:bCs/>
          <w:sz w:val="20"/>
          <w:szCs w:val="20"/>
          <w:rtl/>
        </w:rPr>
        <w:t xml:space="preserve">פרשנות במשפט</w:t>
      </w:r>
      <w:r>
        <w:rPr>
          <w:rFonts w:ascii="David" w:cs="David" w:eastAsia="David" w:hAnsi="David"/>
          <w:sz w:val="20"/>
          <w:szCs w:val="20"/>
          <w:rtl/>
        </w:rPr>
        <w:t xml:space="preserve"> כרך ג: פרשנות חוקתית 777 (1994).</w:t>
      </w:r>
    </w:p>
  </w:footnote>
  <w:footnote w:id="193">
    <w:p>
      <w:pPr>
        <w:bidi/>
        <w:spacing w:after="40" w:line="240"/>
        <w:jc w:val="both"/>
      </w:pPr>
      <w:r>
        <w:rPr>
          <w:rStyle w:val="FootnoteReference"/>
        </w:rPr>
        <w:footnoteRef/>
      </w:r>
      <w:r>
        <w:rPr>
          <w:rFonts w:ascii="David" w:cs="David" w:eastAsia="David" w:hAnsi="David"/>
          <w:sz w:val="20"/>
          <w:szCs w:val="20"/>
          <w:rtl/>
        </w:rPr>
        <w:t xml:space="preserve"> ע"א 337/81 </w:t>
      </w:r>
      <w:r>
        <w:rPr>
          <w:rFonts w:ascii="David" w:cs="David" w:eastAsia="David" w:hAnsi="David"/>
          <w:b/>
          <w:bCs/>
          <w:sz w:val="20"/>
          <w:szCs w:val="20"/>
          <w:rtl/>
        </w:rPr>
        <w:t xml:space="preserve">בוסקילה נ' מדינת ישראל</w:t>
      </w:r>
      <w:r>
        <w:rPr>
          <w:rFonts w:ascii="David" w:cs="David" w:eastAsia="David" w:hAnsi="David"/>
          <w:sz w:val="20"/>
          <w:szCs w:val="20"/>
          <w:rtl/>
        </w:rPr>
        <w:t xml:space="preserve">, פ"ד לח(3) 337 (1984); סגל, לעיל ה"ש 161, בעמ' 196.</w:t>
      </w:r>
    </w:p>
  </w:footnote>
  <w:footnote w:id="194">
    <w:p>
      <w:pPr>
        <w:bidi/>
        <w:spacing w:after="40" w:line="240"/>
        <w:jc w:val="both"/>
      </w:pPr>
      <w:r>
        <w:rPr>
          <w:rStyle w:val="FootnoteReference"/>
        </w:rPr>
        <w:footnoteRef/>
      </w:r>
      <w:r>
        <w:rPr>
          <w:rFonts w:ascii="David" w:cs="David" w:eastAsia="David" w:hAnsi="David"/>
          <w:sz w:val="20"/>
          <w:szCs w:val="20"/>
          <w:rtl/>
        </w:rPr>
        <w:t xml:space="preserve"> בג"ץ 5078/20 </w:t>
      </w:r>
      <w:r>
        <w:rPr>
          <w:rFonts w:ascii="David" w:cs="David" w:eastAsia="David" w:hAnsi="David"/>
          <w:b/>
          <w:bCs/>
          <w:sz w:val="20"/>
          <w:szCs w:val="20"/>
          <w:rtl/>
        </w:rPr>
        <w:t xml:space="preserve">פדידה נ' משטרת ישראל – מפקד מחוז ירושלים</w:t>
      </w:r>
      <w:r>
        <w:rPr>
          <w:rFonts w:ascii="David" w:cs="David" w:eastAsia="David" w:hAnsi="David"/>
          <w:sz w:val="20"/>
          <w:szCs w:val="20"/>
          <w:rtl/>
        </w:rPr>
        <w:t xml:space="preserve">, פסק דינה של השופטת וילנר (נבו 19.8.2020).</w:t>
      </w:r>
    </w:p>
  </w:footnote>
  <w:footnote w:id="19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170, בפס' 1.1-1.3.</w:t>
      </w:r>
    </w:p>
  </w:footnote>
  <w:footnote w:id="19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174, בעמ' 5.</w:t>
      </w:r>
    </w:p>
  </w:footnote>
  <w:footnote w:id="19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24, בס' 5.1, 5.5, 6.1.</w:t>
      </w:r>
    </w:p>
  </w:footnote>
  <w:footnote w:id="19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27, בס' 2.6, 7.1.</w:t>
      </w:r>
    </w:p>
  </w:footnote>
  <w:footnote w:id="19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00">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129, בעמ' 248; ליטמנוביץ ואחרים, לעיל ה"ש 34, בעמ' 240.</w:t>
      </w:r>
    </w:p>
  </w:footnote>
  <w:footnote w:id="20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118, 301.</w:t>
      </w:r>
    </w:p>
  </w:footnote>
  <w:footnote w:id="202">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20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33, בעמ' 124.</w:t>
      </w:r>
    </w:p>
  </w:footnote>
  <w:footnote w:id="204">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20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20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20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238.</w:t>
      </w:r>
    </w:p>
  </w:footnote>
  <w:footnote w:id="208">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209">
    <w:p>
      <w:pPr>
        <w:bidi/>
        <w:spacing w:after="40" w:line="240"/>
        <w:jc w:val="both"/>
      </w:pPr>
      <w:r>
        <w:rPr>
          <w:rStyle w:val="FootnoteReference"/>
        </w:rPr>
        <w:footnoteRef/>
      </w:r>
      <w:r>
        <w:rPr>
          <w:rFonts w:ascii="David" w:cs="David" w:eastAsia="David" w:hAnsi="David"/>
          <w:sz w:val="20"/>
          <w:szCs w:val="20"/>
          <w:rtl w:val="false"/>
        </w:rPr>
        <w:t xml:space="preserve"> National Network for Safe Communities, Group Violence Intervention: An Implementation Guide 5 (2015).‎</w:t>
      </w:r>
    </w:p>
  </w:footnote>
  <w:footnote w:id="21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227.</w:t>
      </w:r>
    </w:p>
  </w:footnote>
  <w:footnote w:id="21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1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214">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21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21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21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219">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20">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22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222">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223">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141, בעמ' 304, 302.</w:t>
      </w:r>
    </w:p>
  </w:footnote>
  <w:footnote w:id="22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36, בעמ' 2054.</w:t>
      </w:r>
    </w:p>
  </w:footnote>
  <w:footnote w:id="22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226">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222, בעמ' 1843.</w:t>
      </w:r>
    </w:p>
  </w:footnote>
  <w:footnote w:id="22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w:t>
      </w:r>
      <w:r>
        <w:rPr>
          <w:rFonts w:ascii="David" w:cs="David" w:eastAsia="David" w:hAnsi="David"/>
          <w:sz w:val="20"/>
          <w:szCs w:val="20"/>
          <w:rtl w:val="false"/>
        </w:rPr>
        <w:t xml:space="preserve">2.2B.‎</w:t>
      </w:r>
    </w:p>
  </w:footnote>
  <w:footnote w:id="22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170, בהמלצה 61.</w:t>
      </w:r>
    </w:p>
  </w:footnote>
  <w:footnote w:id="2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146, בפס' 5.1.</w:t>
      </w:r>
    </w:p>
  </w:footnote>
  <w:footnote w:id="2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172, בפס' 44-47.</w:t>
      </w:r>
    </w:p>
  </w:footnote>
  <w:footnote w:id="23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232">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233">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598.</w:t>
      </w:r>
    </w:p>
  </w:footnote>
  <w:footnote w:id="234">
    <w:p>
      <w:pPr>
        <w:bidi/>
        <w:spacing w:after="40" w:line="240"/>
        <w:jc w:val="both"/>
      </w:pPr>
      <w:r>
        <w:rPr>
          <w:rStyle w:val="FootnoteReference"/>
        </w:rPr>
        <w:footnoteRef/>
      </w:r>
      <w:r>
        <w:rPr>
          <w:rFonts w:ascii="David" w:cs="David" w:eastAsia="David" w:hAnsi="David"/>
          <w:sz w:val="20"/>
          <w:szCs w:val="20"/>
          <w:rtl w:val="false"/>
        </w:rPr>
        <w:t xml:space="preserve"> Kent Roach, ‎</w:t>
      </w:r>
      <w:r>
        <w:rPr>
          <w:rFonts w:ascii="David" w:cs="David" w:eastAsia="David" w:hAnsi="David"/>
          <w:i/>
          <w:iCs/>
          <w:sz w:val="20"/>
          <w:szCs w:val="20"/>
          <w:rtl w:val="false"/>
        </w:rPr>
        <w:t xml:space="preserve">Models of Civilian Police Review: The Objectives and Mechanisms of Legal and Political Regulation of the Police‎</w:t>
      </w:r>
      <w:r>
        <w:rPr>
          <w:rFonts w:ascii="David" w:cs="David" w:eastAsia="David" w:hAnsi="David"/>
          <w:sz w:val="20"/>
          <w:szCs w:val="20"/>
          <w:rtl/>
        </w:rPr>
        <w:t xml:space="preserve">, </w:t>
      </w:r>
      <w:r>
        <w:rPr>
          <w:rFonts w:ascii="David" w:cs="David" w:eastAsia="David" w:hAnsi="David"/>
          <w:sz w:val="20"/>
          <w:szCs w:val="20"/>
          <w:rtl w:val="false"/>
        </w:rPr>
        <w:t xml:space="preserve">61 CRIM. L.Q. 29 (2014)‎</w:t>
      </w:r>
      <w:r>
        <w:rPr>
          <w:rFonts w:ascii="David" w:cs="David" w:eastAsia="David" w:hAnsi="David"/>
          <w:sz w:val="20"/>
          <w:szCs w:val="20"/>
          <w:rtl/>
        </w:rPr>
        <w:t xml:space="preserve">, כמובא אצל פורום המרצות והמרצים, לעיל ה"ש 19, בעמ' 600.</w:t>
      </w:r>
    </w:p>
  </w:footnote>
  <w:footnote w:id="235">
    <w:p>
      <w:pPr>
        <w:bidi/>
        <w:spacing w:after="40" w:line="240"/>
        <w:jc w:val="both"/>
      </w:pPr>
      <w:r>
        <w:rPr>
          <w:rStyle w:val="FootnoteReference"/>
        </w:rPr>
        <w:footnoteRef/>
      </w:r>
      <w:r>
        <w:rPr>
          <w:rFonts w:ascii="David" w:cs="David" w:eastAsia="David" w:hAnsi="David"/>
          <w:sz w:val="20"/>
          <w:szCs w:val="20"/>
          <w:rtl w:val="false"/>
        </w:rPr>
        <w:t xml:space="preserve"> Stephen Halpern, ‎</w:t>
      </w:r>
      <w:r>
        <w:rPr>
          <w:rFonts w:ascii="David" w:cs="David" w:eastAsia="David" w:hAnsi="David"/>
          <w:i/>
          <w:iCs/>
          <w:sz w:val="20"/>
          <w:szCs w:val="20"/>
          <w:rtl w:val="false"/>
        </w:rPr>
        <w:t xml:space="preserve">Police Employee Organizations and Accountability Procedures in Three Cities: Some Reflections on Police Policy-Making‎</w:t>
      </w:r>
      <w:r>
        <w:rPr>
          <w:rFonts w:ascii="David" w:cs="David" w:eastAsia="David" w:hAnsi="David"/>
          <w:sz w:val="20"/>
          <w:szCs w:val="20"/>
          <w:rtl/>
        </w:rPr>
        <w:t xml:space="preserve">, </w:t>
      </w:r>
      <w:r>
        <w:rPr>
          <w:rFonts w:ascii="David" w:cs="David" w:eastAsia="David" w:hAnsi="David"/>
          <w:sz w:val="20"/>
          <w:szCs w:val="20"/>
          <w:rtl w:val="false"/>
        </w:rPr>
        <w:t xml:space="preserve">8 LAW &amp; SOC'Y REV. 561 (1974)‎</w:t>
      </w:r>
      <w:r>
        <w:rPr>
          <w:rFonts w:ascii="David" w:cs="David" w:eastAsia="David" w:hAnsi="David"/>
          <w:sz w:val="20"/>
          <w:szCs w:val="20"/>
          <w:rt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sz w:val="20"/>
          <w:szCs w:val="20"/>
          <w:rtl/>
        </w:rPr>
        <w:t xml:space="preserve">עבודה, חברה ומשפט</w:t>
      </w:r>
      <w:r>
        <w:rPr>
          <w:rFonts w:ascii="David" w:cs="David" w:eastAsia="David" w:hAnsi="David"/>
          <w:sz w:val="20"/>
          <w:szCs w:val="20"/>
          <w:rtl/>
        </w:rPr>
        <w:t xml:space="preserve"> טז 27, 35 (2020).</w:t>
      </w:r>
    </w:p>
  </w:footnote>
  <w:footnote w:id="236">
    <w:p>
      <w:pPr>
        <w:bidi/>
        <w:spacing w:after="40" w:line="240"/>
        <w:jc w:val="both"/>
      </w:pPr>
      <w:r>
        <w:rPr>
          <w:rStyle w:val="FootnoteReference"/>
        </w:rPr>
        <w:footnoteRef/>
      </w:r>
      <w:r>
        <w:rPr>
          <w:rFonts w:ascii="David" w:cs="David" w:eastAsia="David" w:hAnsi="David"/>
          <w:sz w:val="20"/>
          <w:szCs w:val="20"/>
          <w:rtl/>
        </w:rPr>
        <w:t xml:space="preserve"> ס' 7 לחוק-יסוד: כבוד האדם וחירותו; חוק הגנת הפרטיות, התשמ"א–1981.</w:t>
      </w:r>
    </w:p>
  </w:footnote>
  <w:footnote w:id="237">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222, בעמ' 1844.</w:t>
      </w:r>
    </w:p>
  </w:footnote>
  <w:footnote w:id="2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23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2026-09-25T09:44:21.107Z</dcterms:created>
  <dcterms:modified xsi:type="dcterms:W3CDTF">2026-09-25T09:44:21.109Z</dcterms:modified>
</cp:coreProperties>
</file>

<file path=docProps/custom.xml><?xml version="1.0" encoding="utf-8"?>
<Properties xmlns="http://schemas.openxmlformats.org/officeDocument/2006/custom-properties" xmlns:vt="http://schemas.openxmlformats.org/officeDocument/2006/docPropsVTypes"/>
</file>