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360"/>
        <w:jc w:val="center"/>
      </w:pPr>
      <w:r>
        <w:rPr>
          <w:rFonts w:ascii="David" w:cs="David" w:eastAsia="David" w:hAnsi="David"/>
          <w:sz w:val="24"/>
          <w:szCs w:val="24"/>
          <w:rtl/>
        </w:rPr>
        <w:t xml:space="preserve">המחלקה למינהל ומדיניות ציבורית, מכללת ספיר</w:t>
      </w:r>
    </w:p>
    <w:p>
      <w:pPr>
        <w:bidi/>
        <w:spacing w:line="360"/>
        <w:jc w:val="center"/>
      </w:pPr>
      <w:r>
        <w:rPr>
          <w:rFonts w:ascii="David" w:cs="David" w:eastAsia="David" w:hAnsi="David"/>
          <w:b/>
          <w:bCs/>
          <w:sz w:val="24"/>
          <w:szCs w:val="24"/>
          <w:rtl/>
        </w:rPr>
        <w:t xml:space="preserve">תרגיל אינטגרטיבי תשפ"ו: ביטחון מזון, משימת סיכום</w:t>
      </w:r>
    </w:p>
    <w:p>
      <w:pPr>
        <w:bidi/>
        <w:spacing w:after="240" w:line="360"/>
        <w:jc w:val="center"/>
      </w:pPr>
      <w:r>
        <w:rPr>
          <w:rFonts w:ascii="David" w:cs="David" w:eastAsia="David" w:hAnsi="David"/>
          <w:sz w:val="24"/>
          <w:szCs w:val="24"/>
          <w:rtl/>
        </w:rPr>
        <w:t xml:space="preserve">מרצה: ד"ר נטע שר-הדר | מגיש/ה: [שם מלא], ת"ז [מספר] | אלול תשפ"ו, אוגוסט 2026</w:t>
      </w:r>
    </w:p>
    <w:p>
      <w:pPr>
        <w:bidi/>
        <w:spacing w:after="60" w:before="120" w:line="360"/>
      </w:pPr>
      <w:r>
        <w:rPr>
          <w:rFonts w:ascii="David" w:cs="David" w:eastAsia="David" w:hAnsi="David"/>
          <w:b/>
          <w:bCs/>
          <w:sz w:val="24"/>
          <w:szCs w:val="24"/>
          <w:rtl/>
        </w:rPr>
        <w:t xml:space="preserve">1. היעד הנבחר, השותפים ונקודת החיכוך</w:t>
      </w:r>
    </w:p>
    <w:p>
      <w:pPr>
        <w:bidi/>
        <w:spacing w:line="360"/>
      </w:pPr>
      <w:r>
        <w:rPr>
          <w:rFonts w:ascii="David" w:cs="David" w:eastAsia="David" w:hAnsi="David"/>
          <w:sz w:val="24"/>
          <w:szCs w:val="24"/>
          <w:rtl/>
        </w:rPr>
        <w:t xml:space="preserve">היעד הנבחר מתוך עשרת היעדים הלאומיים שבתוכנית הוא צמצום אובדן ובזבוז מזון (משרד החקלאות וביטחון המזון, 2025; נספח, ציטוט 1). הבחירה נובעת מכך שהתוכנית עצמה מונה את בזבוז המזון ואובדנו בין האיומים המתמשכים על מערכות המזון (נספח, ציטוט 3), והיקף האובדן בישראל נאמד במיליוני טונות בשנה, שחלק ניכר מהן ניתן להצלה (לקט ישראל, 2024).</w:t>
      </w:r>
    </w:p>
    <w:p>
      <w:pPr>
        <w:bidi/>
        <w:spacing w:line="360"/>
      </w:pPr>
      <w:r>
        <w:rPr>
          <w:rFonts w:ascii="David" w:cs="David" w:eastAsia="David" w:hAnsi="David"/>
          <w:sz w:val="24"/>
          <w:szCs w:val="24"/>
          <w:rtl/>
        </w:rPr>
        <w:t xml:space="preserve">שני השותפים שבלעדיהם היעד לא יתממש הם המשרד להגנת הסביבה ומשרד הבריאות, שניהם שותפים מוצהרים בגיבוש התוכנית (נספח, ציטוט 2). המשרד להגנת הסביבה מחזיק בתוכנית הלאומית לצמצום אובדן ובזבוז מזון, ומתוקף תפקידו כמאסדר הפסולת הוא שקובע מה ייעשה במזון שלא נאכל: הטמנה או הצלה (המשרד להגנת הסביבה, 2025). משרד הבריאות, באמצעות שירות המזון הארצי, מסדיר את פעילות עסקי המזון וההסעדה, ולכן כל העברה של עודפי מזון מגוף לגוף עוברת דרך כלליו (משרד הבריאות, 2026). בלי הראשון אין תשתית ותמריץ להסטת מזון מהטמנה, ובלי השני אין דרך חוקית להעבירו.</w:t>
      </w:r>
    </w:p>
    <w:p>
      <w:pPr>
        <w:bidi/>
        <w:spacing w:line="360"/>
      </w:pPr>
      <w:r>
        <w:rPr>
          <w:rFonts w:ascii="David" w:cs="David" w:eastAsia="David" w:hAnsi="David"/>
          <w:sz w:val="24"/>
          <w:szCs w:val="24"/>
          <w:rtl/>
        </w:rPr>
        <w:t xml:space="preserve">נקודת החיכוך מובנית בהגדרות התפקיד. המשרד להגנת הסביבה מבקש להסיט כמה שיותר מזון עודף מהטמנה אל הצלה ותרומה, ואילו משרד הבריאות אמון על מניעת סיכון בריאותי, ולכן ברירת המחדל שלו מצמצמת את סוגי המזון המותרים בהעברה. אותו מגש מבושל הוא עבור האחד משאב להצלה ועבור השני מקור סיכון. שני הגופים צודקים מתוקף תפקידם, וזה בדיוק מקור הבעיה.</w:t>
      </w:r>
    </w:p>
    <w:p>
      <w:pPr>
        <w:bidi/>
        <w:spacing w:after="60" w:before="120" w:line="360"/>
      </w:pPr>
      <w:r>
        <w:rPr>
          <w:rFonts w:ascii="David" w:cs="David" w:eastAsia="David" w:hAnsi="David"/>
          <w:b/>
          <w:bCs/>
          <w:sz w:val="24"/>
          <w:szCs w:val="24"/>
          <w:rtl/>
        </w:rPr>
        <w:t xml:space="preserve">2. תרחיש כשל</w:t>
      </w:r>
    </w:p>
    <w:p>
      <w:pPr>
        <w:bidi/>
        <w:spacing w:line="360"/>
      </w:pPr>
      <w:r>
        <w:rPr>
          <w:rFonts w:ascii="David" w:cs="David" w:eastAsia="David" w:hAnsi="David"/>
          <w:sz w:val="24"/>
          <w:szCs w:val="24"/>
          <w:rtl/>
        </w:rPr>
        <w:t xml:space="preserve">התוכנית אושרה, והמשרד להגנת הסביבה הציב יעד הצלת מזון לאולמות אירועים. באולם בדרום מסתיימת חתונה ונותרו כמאתיים מנות מבושלות. עמותת הצלה מגיעה לאסוף, אך מנהל המטבח מסרב: הנחיות משרד הבריאות לעסקי מזון קובעות שמנה שיצאה מקו ההגשה אינה ניתנת להעברה בלא בקרת קור מתועדת, ואף גורם בשתי הרשויות לא קבע נוהל משותף המגדיר מי אחראי למזון מרגע שעזב את האולם. המשאית חוזרת ריקה והמנות מושלכות, וכך קורה ערב אחר ערב בעשרות אולמות. אין כאן מחסור במשאבים ואין רצון רע. יש שני מנגנונים שכל אחד מהם פועל בדיוק לפי הגדרתו, ואיש אינו מחזיק בסמכות על התפר שביניהם.</w:t>
      </w:r>
    </w:p>
    <w:p>
      <w:pPr>
        <w:bidi/>
        <w:spacing w:after="60" w:before="120" w:line="360"/>
      </w:pPr>
      <w:r>
        <w:rPr>
          <w:rFonts w:ascii="David" w:cs="David" w:eastAsia="David" w:hAnsi="David"/>
          <w:b/>
          <w:bCs/>
          <w:sz w:val="24"/>
          <w:szCs w:val="24"/>
          <w:rtl/>
        </w:rPr>
        <w:t xml:space="preserve">3. מה למדתי על יישום ועל שותפות</w:t>
      </w:r>
    </w:p>
    <w:p>
      <w:pPr>
        <w:bidi/>
        <w:spacing w:line="360"/>
      </w:pPr>
      <w:r>
        <w:rPr>
          <w:rFonts w:ascii="David" w:cs="David" w:eastAsia="David" w:hAnsi="David"/>
          <w:sz w:val="24"/>
          <w:szCs w:val="24"/>
          <w:rtl/>
        </w:rPr>
        <w:t xml:space="preserve">פרסמן ווילדבסקי (</w:t>
      </w:r>
      <w:r>
        <w:rPr>
          <w:rFonts w:ascii="Times New Roman" w:cs="Times New Roman" w:eastAsia="Times New Roman" w:hAnsi="Times New Roman"/>
          <w:sz w:val="24"/>
          <w:szCs w:val="24"/>
        </w:rPr>
        <w:t xml:space="preserve">Pressman &amp; Wildavsky, 1984</w:t>
      </w:r>
      <w:r>
        <w:rPr>
          <w:rFonts w:ascii="David" w:cs="David" w:eastAsia="David" w:hAnsi="David"/>
          <w:sz w:val="24"/>
          <w:szCs w:val="24"/>
          <w:rtl/>
        </w:rPr>
        <w:t xml:space="preserve">) הראו שכישלון יישום אינו מחייב מתנגדים, אלא רק שרשרת ארוכה של נקודות הסכמה, שבכל אחת מהן ההסתברות לעיכוב קטנה והמכפלה שלהן גדולה. התרחיש שכתבתי הוא מכפלה כזאת. ליפסקי (</w:t>
      </w:r>
      <w:r>
        <w:rPr>
          <w:rFonts w:ascii="Times New Roman" w:cs="Times New Roman" w:eastAsia="Times New Roman" w:hAnsi="Times New Roman"/>
          <w:sz w:val="24"/>
          <w:szCs w:val="24"/>
        </w:rPr>
        <w:t xml:space="preserve">Lipsky, 2010</w:t>
      </w:r>
      <w:r>
        <w:rPr>
          <w:rFonts w:ascii="David" w:cs="David" w:eastAsia="David" w:hAnsi="David"/>
          <w:sz w:val="24"/>
          <w:szCs w:val="24"/>
          <w:rtl/>
        </w:rPr>
        <w:t xml:space="preserve">) הוסיף עבורי את הזווית השנייה: המדיניות בפועל נקבעת בידי מנהל המטבח והמפקח, לא רק בצוותי המטה. ההבנה שהפתיעה אותי היא ששותפות אינה מסמך חתום אלא בעלות מוגדרת על התפר שבין הגופים. מי שלא הגדיר את התפר השאיר את ההחלטה לעובד הקצה בשעה אחת בלילה, וזה חיבר לי באופן חד את מה שנלמד בקורסי המדיניות בתואר אל שאלה מעשית אחת: לא מה כתוב בתוכנית, אלא מי מחזיק בה כשהיא פוגשת את השטח.</w:t>
      </w:r>
    </w:p>
    <w:p>
      <w:r>
        <w:br w:type="page"/>
      </w:r>
    </w:p>
    <w:p>
      <w:pPr>
        <w:bidi/>
        <w:spacing w:after="120" w:line="480"/>
        <w:jc w:val="center"/>
      </w:pPr>
      <w:r>
        <w:rPr>
          <w:rFonts w:ascii="David" w:cs="David" w:eastAsia="David" w:hAnsi="David"/>
          <w:b/>
          <w:bCs/>
          <w:sz w:val="24"/>
          <w:szCs w:val="24"/>
          <w:rtl/>
        </w:rPr>
        <w:t xml:space="preserve">רשימת מקורות</w:t>
      </w:r>
    </w:p>
    <w:p>
      <w:pPr>
        <w:bidi/>
        <w:spacing w:line="480"/>
        <w:ind w:left="709" w:hanging="709"/>
      </w:pPr>
      <w:r>
        <w:rPr>
          <w:rFonts w:ascii="David" w:cs="David" w:eastAsia="David" w:hAnsi="David"/>
          <w:sz w:val="24"/>
          <w:szCs w:val="24"/>
          <w:rtl/>
        </w:rPr>
        <w:t xml:space="preserve">המשרד להגנת הסביבה. (2025). התוכנית הלאומית לצמצום אובדן ובזבוז מזון.</w:t>
      </w:r>
    </w:p>
    <w:p>
      <w:pPr>
        <w:bidi/>
        <w:spacing w:line="480"/>
        <w:ind w:left="709" w:hanging="709"/>
      </w:pPr>
      <w:r>
        <w:rPr>
          <w:rFonts w:ascii="David" w:cs="David" w:eastAsia="David" w:hAnsi="David"/>
          <w:sz w:val="24"/>
          <w:szCs w:val="24"/>
          <w:rtl/>
        </w:rPr>
        <w:t xml:space="preserve">לקט ישראל. (2024). הדוח הלאומי 2024: אובדן מזון והצלת מזון בישראל, דוח העשור.</w:t>
      </w:r>
    </w:p>
    <w:p>
      <w:pPr>
        <w:bidi/>
        <w:spacing w:line="480"/>
        <w:ind w:left="709" w:hanging="709"/>
      </w:pPr>
      <w:r>
        <w:rPr>
          <w:rFonts w:ascii="David" w:cs="David" w:eastAsia="David" w:hAnsi="David"/>
          <w:sz w:val="24"/>
          <w:szCs w:val="24"/>
          <w:rtl/>
        </w:rPr>
        <w:t xml:space="preserve">משרד הבריאות. (2026). מידע והנחיות בנושא מזון לעוסקים במזון.</w:t>
      </w:r>
    </w:p>
    <w:p>
      <w:pPr>
        <w:bidi/>
        <w:spacing w:line="480"/>
        <w:ind w:left="709" w:hanging="709"/>
      </w:pPr>
      <w:r>
        <w:rPr>
          <w:rFonts w:ascii="David" w:cs="David" w:eastAsia="David" w:hAnsi="David"/>
          <w:sz w:val="24"/>
          <w:szCs w:val="24"/>
          <w:rtl/>
        </w:rPr>
        <w:t xml:space="preserve">משרד החקלאות וביטחון המזון. (2025). טיוטת התוכנית הלאומית לביטחון מזון 2050-2025.</w:t>
      </w:r>
    </w:p>
    <w:p>
      <w:pPr>
        <w:spacing w:line="480"/>
        <w:ind w:left="709" w:hanging="709"/>
        <w:jc w:val="left"/>
      </w:pPr>
      <w:r>
        <w:rPr>
          <w:rFonts w:ascii="Times New Roman" w:cs="Times New Roman" w:eastAsia="Times New Roman" w:hAnsi="Times New Roman"/>
          <w:sz w:val="24"/>
          <w:szCs w:val="24"/>
        </w:rPr>
        <w:t xml:space="preserve">Lipsky, M. (2010). </w:t>
      </w:r>
      <w:r>
        <w:rPr>
          <w:rFonts w:ascii="Times New Roman" w:cs="Times New Roman" w:eastAsia="Times New Roman" w:hAnsi="Times New Roman"/>
          <w:i/>
          <w:iCs/>
          <w:sz w:val="24"/>
          <w:szCs w:val="24"/>
        </w:rPr>
        <w:t xml:space="preserve">Street-level bureaucracy: Dilemmas of the individual in public services</w:t>
      </w:r>
      <w:r>
        <w:rPr>
          <w:rFonts w:ascii="Times New Roman" w:cs="Times New Roman" w:eastAsia="Times New Roman" w:hAnsi="Times New Roman"/>
          <w:sz w:val="24"/>
          <w:szCs w:val="24"/>
        </w:rPr>
        <w:t xml:space="preserve"> (30th anniversary expanded ed.). Russell Sage Foundation. (Original work published 1980)</w:t>
      </w:r>
    </w:p>
    <w:p>
      <w:pPr>
        <w:spacing w:line="480"/>
        <w:ind w:left="709" w:hanging="709"/>
        <w:jc w:val="left"/>
      </w:pPr>
      <w:r>
        <w:rPr>
          <w:rFonts w:ascii="Times New Roman" w:cs="Times New Roman" w:eastAsia="Times New Roman" w:hAnsi="Times New Roman"/>
          <w:sz w:val="24"/>
          <w:szCs w:val="24"/>
        </w:rPr>
        <w:t xml:space="preserve">Pressman, J. L., &amp; Wildavsky, A. (1984). </w:t>
      </w:r>
      <w:r>
        <w:rPr>
          <w:rFonts w:ascii="Times New Roman" w:cs="Times New Roman" w:eastAsia="Times New Roman" w:hAnsi="Times New Roman"/>
          <w:i/>
          <w:iCs/>
          <w:sz w:val="24"/>
          <w:szCs w:val="24"/>
        </w:rPr>
        <w:t xml:space="preserve">Implementation</w:t>
      </w:r>
      <w:r>
        <w:rPr>
          <w:rFonts w:ascii="Times New Roman" w:cs="Times New Roman" w:eastAsia="Times New Roman" w:hAnsi="Times New Roman"/>
          <w:sz w:val="24"/>
          <w:szCs w:val="24"/>
        </w:rPr>
        <w:t xml:space="preserve"> (3rd ed.). University of California Press.</w:t>
      </w:r>
    </w:p>
    <w:p>
      <w:r>
        <w:br w:type="page"/>
      </w:r>
    </w:p>
    <w:p>
      <w:pPr>
        <w:bidi/>
        <w:spacing w:after="120" w:line="360"/>
        <w:jc w:val="center"/>
      </w:pPr>
      <w:r>
        <w:rPr>
          <w:rFonts w:ascii="David" w:cs="David" w:eastAsia="David" w:hAnsi="David"/>
          <w:b/>
          <w:bCs/>
          <w:sz w:val="24"/>
          <w:szCs w:val="24"/>
          <w:rtl/>
        </w:rPr>
        <w:t xml:space="preserve">נספח: ציטוטים מעגנים מתוך מסמך התרגיל</w:t>
      </w:r>
    </w:p>
    <w:p>
      <w:pPr>
        <w:bidi/>
        <w:spacing w:line="360"/>
      </w:pPr>
      <w:r>
        <w:rPr>
          <w:rFonts w:ascii="David" w:cs="David" w:eastAsia="David" w:hAnsi="David"/>
          <w:b/>
          <w:bCs/>
          <w:sz w:val="24"/>
          <w:szCs w:val="24"/>
          <w:rtl/>
        </w:rPr>
        <w:t xml:space="preserve">ציטוט 1: </w:t>
      </w:r>
      <w:r>
        <w:rPr>
          <w:rFonts w:ascii="David" w:cs="David" w:eastAsia="David" w:hAnsi="David"/>
          <w:sz w:val="24"/>
          <w:szCs w:val="24"/>
          <w:rtl/>
        </w:rPr>
        <w:t xml:space="preserve">"הניחו יחד תשתית ליישום מדיניות כוללת לקידום ביטחון מזון בטווח הקצר והארוך, והציבו עשרה יעדים לאומיים: אספקת מזון רציפה ויציבה, תזונה בריאה ומקיימת, מזון בר-קיימא, ייצור חקלאי מקומי יציב, תעשיית מזון חדשנית ותחרותית, שמירה על הסביבה והיערכות לשינוי האקלים, צמצום אובדן ובזבוז מזון, ייבוא מזון מחושב ומושכל, קידום מו"פ וחדשנות והיגוי מותאם ומבוסס מטרות" (אתר משרד החקלאות, כפי שמובא במסמך התרגיל).</w:t>
      </w:r>
    </w:p>
    <w:p>
      <w:pPr>
        <w:bidi/>
        <w:spacing w:line="360"/>
      </w:pPr>
      <w:r>
        <w:rPr>
          <w:rFonts w:ascii="David" w:cs="David" w:eastAsia="David" w:hAnsi="David"/>
          <w:b/>
          <w:bCs/>
          <w:sz w:val="24"/>
          <w:szCs w:val="24"/>
          <w:rtl/>
        </w:rPr>
        <w:t xml:space="preserve">ציטוט 2: </w:t>
      </w:r>
      <w:r>
        <w:rPr>
          <w:rFonts w:ascii="David" w:cs="David" w:eastAsia="David" w:hAnsi="David"/>
          <w:sz w:val="24"/>
          <w:szCs w:val="24"/>
          <w:rtl/>
        </w:rPr>
        <w:t xml:space="preserve">"התוכנית גובשה בתהליך רב־משרדי ורב־מגזרי רחב היקף, בהובלת משרד החקלאות וביטחון המזון ובהשתתפות משרדי הכלכלה והתעשייה, הבריאות והגנת הסביבה" (אתר משרד החקלאות, כפי שמובא במסמך התרגיל).</w:t>
      </w:r>
    </w:p>
    <w:p>
      <w:pPr>
        <w:bidi/>
        <w:spacing w:line="360"/>
      </w:pPr>
      <w:r>
        <w:rPr>
          <w:rFonts w:ascii="David" w:cs="David" w:eastAsia="David" w:hAnsi="David"/>
          <w:b/>
          <w:bCs/>
          <w:sz w:val="24"/>
          <w:szCs w:val="24"/>
          <w:rtl/>
        </w:rPr>
        <w:t xml:space="preserve">ציטוט 3: </w:t>
      </w:r>
      <w:r>
        <w:rPr>
          <w:rFonts w:ascii="David" w:cs="David" w:eastAsia="David" w:hAnsi="David"/>
          <w:sz w:val="24"/>
          <w:szCs w:val="24"/>
          <w:rtl/>
        </w:rPr>
        <w:t xml:space="preserve">"וכלה באיומים מתמשכים כגון גידול אוכלוסייה, שחיקה במשאבי קרקע ומים, שינויי אקלים, בזבוז ואובדן מזון ושינויים בהרגלי הצריכה" (אתר משרד החקלאות, כפי שמובא במסמך התרגיל).</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2026-08-23T20:22:58.559Z</dcterms:created>
  <dcterms:modified xsi:type="dcterms:W3CDTF">2026-08-23T20:22:58.559Z</dcterms:modified>
</cp:coreProperties>
</file>

<file path=docProps/custom.xml><?xml version="1.0" encoding="utf-8"?>
<Properties xmlns="http://schemas.openxmlformats.org/officeDocument/2006/custom-properties" xmlns:vt="http://schemas.openxmlformats.org/officeDocument/2006/docPropsVTypes"/>
</file>