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הוראות הסכם קיבוצי הן </w:t>
      </w:r>
      <w:r>
        <w:rPr>
          <w:b/>
          <w:sz w:val="24"/>
          <w:rtl/>
          <w:szCs w:val="24"/>
          <w:bCs/>
        </w:rPr>
        <w:t>כללים קוגנטיים</w:t>
      </w:r>
      <w:r>
        <w:rPr>
          <w:sz w:val="24"/>
          <w:rtl/>
          <w:szCs w:val="24"/>
        </w:rPr>
        <w:t xml:space="preserve">, ואילו חוזה אישי הוא </w:t>
      </w:r>
      <w:r>
        <w:rPr>
          <w:b/>
          <w:sz w:val="24"/>
          <w:rtl/>
          <w:szCs w:val="24"/>
          <w:bCs/>
        </w:rPr>
        <w:t>דיספוזיטיבי</w:t>
      </w:r>
      <w:r>
        <w:rPr>
          <w:sz w:val="24"/>
          <w:rtl/>
          <w:szCs w:val="24"/>
        </w:rPr>
        <w:t>,</w:t>
      </w:r>
      <w:r>
        <w:rPr>
          <w:vertAlign w:val="superscript"/>
        </w:rPr>
        <w:footnoteReference w:id="4"/>
      </w:r>
      <w:r>
        <w:rPr>
          <w:sz w:val="24"/>
          <w:rtl/>
          <w:szCs w:val="24"/>
        </w:rPr>
        <w:t xml:space="preserve"> אך לפי </w:t>
      </w:r>
      <w:r>
        <w:rPr>
          <w:b/>
          <w:sz w:val="24"/>
          <w:rtl/>
          <w:szCs w:val="24"/>
          <w:bCs/>
        </w:rPr>
        <w:t>סעיף 22 לחוק</w:t>
      </w:r>
      <w:r>
        <w:rPr>
          <w:sz w:val="24"/>
          <w:rtl/>
          <w:szCs w:val="24"/>
        </w:rPr>
        <w:t xml:space="preserve"> הוראה בחוזה האישי שהיא לטובת העובד גוברת על ההסכם הקיבוצי. הסכם קיבוצי קובע אפוא רצפה ואינו שולל משא ומתן אישי מעליה.</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5"/>
      </w:r>
      <w:r>
        <w:rPr>
          <w:sz w:val="24"/>
          <w:rtl/>
          <w:szCs w:val="24"/>
        </w:rPr>
        <w:t xml:space="preserve"> נפסק שמטרתו העיקרית של ארגון עובדים חייבת להיות משא ומתן קיבוצי לשיפור תנאי העבודה, ושהמודל הקיבוצי שבבסיס החוק אינו נסוג מפני התרחבות החוזים האישיים.</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בית הדין הדגיש גם את הטעם לכך: ארגון יציג מקבל כוח לחייב אף עובדים שאינם חברים בו, ולכן רק גוף הכשיר למלא תפקיד זה יוכר.</w:t>
      </w:r>
      <w:r>
        <w:rPr>
          <w:vertAlign w:val="superscript"/>
        </w:rPr>
        <w:footnoteReference w:id="8"/>
      </w:r>
      <w:r>
        <w:rPr>
          <w:sz w:val="24"/>
          <w:rtl/>
          <w:szCs w:val="24"/>
        </w:rPr>
        <w:t xml:space="preserve"> כך גם כאן, ואין נפקות לכך שעובדים רבים הצטרפו לקבוצה. יתרה מזו, בנוקיה נקבע שהחברה לא תמכה בארגון הפנימי,</w:t>
      </w:r>
      <w:r>
        <w:rPr>
          <w:vertAlign w:val="superscript"/>
        </w:rPr>
        <w:footnoteReference w:id="9"/>
      </w:r>
      <w:r>
        <w:rPr>
          <w:sz w:val="24"/>
          <w:rtl/>
          <w:szCs w:val="24"/>
        </w:rPr>
        <w:t xml:space="preserve">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10"/>
      </w:r>
      <w:r>
        <w:rPr>
          <w:sz w:val="24"/>
          <w:rtl/>
          <w:szCs w:val="24"/>
        </w:rPr>
        <w:t xml:space="preserve">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וכל שיחה כזו עלולה להיתפס כאיום. </w:t>
      </w:r>
      <w:r>
        <w:rPr>
          <w:b/>
          <w:sz w:val="24"/>
          <w:rtl/>
          <w:szCs w:val="24"/>
          <w:bCs/>
        </w:rPr>
        <w:t>הפגישה עם הקבוצה ודברי השבח</w:t>
      </w:r>
      <w:r>
        <w:rPr>
          <w:sz w:val="24"/>
          <w:rtl/>
          <w:szCs w:val="24"/>
        </w:rPr>
        <w:t xml:space="preserve">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1"/>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השיחות התקיימו במשרד, ולכן ב"מסגרת יחסי עבודה".</w:t>
      </w:r>
    </w:p>
    <w:p>
      <w:pPr>
        <w:bidi/>
        <w:spacing w:before="0" w:after="0"/>
        <w:jc w:val="both"/>
      </w:pPr>
      <w:r>
        <w:rPr>
          <w:sz w:val="24"/>
          <w:rtl/>
          <w:szCs w:val="24"/>
        </w:rPr>
        <w:t>"הראה" פירושו במילים או בהתנהגות שאין ספק סביר לגבי משמעותה.</w:t>
      </w:r>
      <w:r>
        <w:rPr>
          <w:vertAlign w:val="superscript"/>
        </w:rPr>
        <w:footnoteReference w:id="12"/>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מרות ביחסי עבודה, אין צורך שהמוטרד יראה שאינו מעוניין. ב</w:t>
      </w:r>
      <w:r>
        <w:rPr>
          <w:b/>
          <w:sz w:val="24"/>
          <w:rtl/>
          <w:szCs w:val="24"/>
          <w:bCs/>
        </w:rPr>
        <w:t>עניין מדר</w:t>
      </w:r>
      <w:r>
        <w:rPr>
          <w:vertAlign w:val="superscript"/>
        </w:rPr>
        <w:footnoteReference w:id="13"/>
      </w:r>
      <w:r>
        <w:rPr>
          <w:sz w:val="24"/>
          <w:rtl/>
          <w:szCs w:val="24"/>
        </w:rPr>
        <w:t xml:space="preserve">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 תחושתה של דנה כי הם "חברים טובים" אינה מכרעת: אילו הוכח ניצול מרות, לא היה צורך שאורי יראה דבר. אין זו גם </w:t>
      </w:r>
      <w:r>
        <w:rPr>
          <w:b/>
          <w:sz w:val="24"/>
          <w:rtl/>
          <w:szCs w:val="24"/>
          <w:bCs/>
        </w:rPr>
        <w:t>הטרדה סביבתית</w:t>
      </w:r>
      <w:r>
        <w:rPr>
          <w:sz w:val="24"/>
          <w:rtl/>
          <w:szCs w:val="24"/>
        </w:rPr>
        <w:t>,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4"/>
      </w:r>
      <w:r>
        <w:rPr>
          <w:sz w:val="24"/>
          <w:rtl/>
          <w:szCs w:val="24"/>
        </w:rPr>
        <w:t xml:space="preserve">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ואינה מותנית בכך שהמוטרד סירב. החוק מרחיב את המושג לפגיעה לפי סעיף 7 לחוק שוויון ההזדמנויות בעבודה, שלעניינה די ב</w:t>
      </w:r>
      <w:r>
        <w:rPr>
          <w:b/>
          <w:sz w:val="24"/>
          <w:rtl/>
          <w:szCs w:val="24"/>
          <w:bCs/>
        </w:rPr>
        <w:t>התייחסות אחת</w:t>
      </w:r>
      <w:r>
        <w:rPr>
          <w:sz w:val="24"/>
          <w:rtl/>
          <w:szCs w:val="24"/>
        </w:rPr>
        <w:t xml:space="preserve"> לפי סעיף 3(א)(4).</w:t>
      </w:r>
      <w:r>
        <w:rPr>
          <w:vertAlign w:val="superscript"/>
        </w:rPr>
        <w:footnoteReference w:id="15"/>
      </w:r>
      <w:r>
        <w:rPr>
          <w:sz w:val="24"/>
          <w:rtl/>
          <w:szCs w:val="24"/>
        </w:rPr>
        <w:t xml:space="preserve"> אם יוכרו יחסי מרות, גם השאלה הבודדת על נטייתו של אורי עשויה להספיק.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6"/>
      </w:r>
      <w:r>
        <w:rPr>
          <w:sz w:val="24"/>
          <w:rtl/>
          <w:szCs w:val="24"/>
        </w:rPr>
        <w:t xml:space="preserve"> ובית הדין רשאי לפסוק פיצוי של עד 120,000 ש"ח ללא הוכחת נזק.</w:t>
      </w:r>
      <w:r>
        <w:rPr>
          <w:vertAlign w:val="superscript"/>
        </w:rPr>
        <w:footnoteReference w:id="17"/>
      </w:r>
      <w:r>
        <w:rPr>
          <w:sz w:val="24"/>
          <w:rtl/>
          <w:szCs w:val="24"/>
        </w:rPr>
        <w:t xml:space="preserve">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8"/>
      </w:r>
      <w:r>
        <w:rPr>
          <w:sz w:val="24"/>
          <w:rtl/>
          <w:szCs w:val="24"/>
        </w:rPr>
        <w:t xml:space="preserve"> ה</w:t>
      </w:r>
      <w:r>
        <w:rPr>
          <w:b/>
          <w:sz w:val="24"/>
          <w:rtl/>
          <w:szCs w:val="24"/>
          <w:bCs/>
        </w:rPr>
        <w:t>פררוגטיבה הניהולית</w:t>
      </w:r>
      <w:r>
        <w:rPr>
          <w:sz w:val="24"/>
          <w:rtl/>
          <w:szCs w:val="24"/>
        </w:rPr>
        <w:t xml:space="preserve"> מתירה לו לשנות נהלי עבודה, כמו חובת השתתפות בישיבות, אך שינוי הפוגע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9"/>
      </w:r>
      <w:r>
        <w:rPr>
          <w:sz w:val="24"/>
          <w:rtl/>
          <w:szCs w:val="24"/>
        </w:rPr>
        <w:t xml:space="preserve">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w:t>
      </w:r>
      <w:r>
        <w:rPr>
          <w:vertAlign w:val="superscript"/>
        </w:rPr>
        <w:footnoteReference w:id="20"/>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1"/>
      </w:r>
      <w:r>
        <w:rPr>
          <w:sz w:val="24"/>
          <w:rtl/>
          <w:szCs w:val="24"/>
        </w:rPr>
        <w:t xml:space="preserve"> הזכאות עצמה מותנית בשנת עבודה אחת ברציפות אצל אותו מעסיק,</w:t>
      </w:r>
      <w:r>
        <w:rPr>
          <w:vertAlign w:val="superscript"/>
        </w:rPr>
        <w:footnoteReference w:id="22"/>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שכן שיהוי עלול להתפרש כהסכמה בהתנהגות. ב</w:t>
      </w:r>
      <w:r>
        <w:rPr>
          <w:b/>
          <w:sz w:val="24"/>
          <w:rtl/>
          <w:szCs w:val="24"/>
          <w:bCs/>
        </w:rPr>
        <w:t>עניין גולן</w:t>
      </w:r>
      <w:r>
        <w:rPr>
          <w:vertAlign w:val="superscript"/>
        </w:rPr>
        <w:footnoteReference w:id="23"/>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4"/>
      </w:r>
      <w:r>
        <w:rPr>
          <w:sz w:val="24"/>
          <w:rtl/>
          <w:szCs w:val="24"/>
        </w:rPr>
        <w:t xml:space="preserve">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"היבטים משפטיים ואתיים בייעוץ ופיתוח ארגוני – מבוא" מצגת הקורס היבטים משפטיים ואתיים בייעוץ ופיתוח ארגוני, המרכז האקדמי פרס (2026).</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"היבטים משפטיים ואתיים בייעוץ ופיתוח ארגוני – מבוא" מצגת הקורס היבטים משפטיים ואתיים בייעוץ ופיתוח ארגוני, המרכז האקדמי פרס (2026); ס' 19-20 לחוק הסכמים קיבוציים.</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שם,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שם, פס' 43.</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שם, פס' 18.</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2 לחוק למניעת הטרדה מינית (הגדרות "הראה" ו"מסגרת יחסי עבודה").</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ס' 7(ו) לחוק למניעת הטרדה מינית; ס' 7(א) לחוק שוויון ההזדמנויות בעבודה, התשמ"ח–1988.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ס' 6א לחוק למניעת הטרדה מינית.</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6(ב), שם.</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