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200" w:before="360" w:line="360"/>
        <w:jc w:val="right"/>
      </w:pPr>
      <w:r>
        <w:rPr>
          <w:rFonts w:ascii="David" w:cs="David" w:eastAsia="David" w:hAnsi="David"/>
          <w:b/>
          <w:bCs/>
          <w:sz w:val="32"/>
          <w:szCs w:val="32"/>
          <w:rtl/>
        </w:rPr>
        <w:t xml:space="preserve">פרק 2: "האנשים החלולים": הסתגרות, לחישה ושתיקה כדרכי התמודדות</w:t>
      </w:r>
    </w:p>
    <w:p>
      <w:pPr>
        <w:pStyle w:val="Heading2"/>
        <w:bidi/>
        <w:spacing w:after="120" w:before="240" w:line="360"/>
        <w:jc w:val="right"/>
      </w:pPr>
      <w:r>
        <w:rPr>
          <w:rFonts w:ascii="David" w:cs="David" w:eastAsia="David" w:hAnsi="David"/>
          <w:b/>
          <w:bCs/>
          <w:sz w:val="28"/>
          <w:szCs w:val="28"/>
          <w:rtl/>
        </w:rPr>
        <w:t xml:space="preserve">2.1 תקציר הסיפור ומבנהו</w:t>
      </w:r>
    </w:p>
    <w:p>
      <w:pPr>
        <w:bidi/>
        <w:spacing w:after="120" w:line="360"/>
        <w:jc w:val="both"/>
      </w:pPr>
      <w:r>
        <w:rPr>
          <w:rFonts w:ascii="David" w:cs="David" w:eastAsia="David" w:hAnsi="David"/>
          <w:sz w:val="24"/>
          <w:szCs w:val="24"/>
          <w:rtl/>
        </w:rPr>
        <w:t xml:space="preserve">"האנשים החלולים" הוא סיפור קצר מתוך הקובץ געגועי לקיסינג'ר (קרת, 1994). המספר, גבר בוגר, נזכר בילדותו בבית שבו גדל עם אביו ואמו. אל הבית היו מגיעים אנשים שדפקו על הדלת "בפראות", והאב היה מביט בעינית ואינו פותח. כדי להרגיע את הילד היה האב נשכב לידו על השטיח, נשען בגבו על דופן הפסנתר, מחבק אותו ולוחש שאין ממה לפחד, כי הדופקים הם "האנשים החלולים", קולות בלי גוף. הקולות שבחוץ חזרו על דבריו של האב, הקיפו את הבית וניסו לפתוח את התריסים, והאב והבן הסתתרו בפינה. בהמשך מתה האם, "בלי קול אבל עם גוף", ובלווייתה בכה איש זר שהאב זיהה כאחד מהם. אחר כך מת גם האב, באותה פינה ליד הפסנתר, כשהבן מחבק אותו. בסיום עומד הבן מול הקבר ושותק, "כי בסופו של דבר גם אני, כנראה, הייתי אחד מהם" (קרת, 1994, עמ' __).</w:t>
      </w:r>
    </w:p>
    <w:p>
      <w:pPr>
        <w:bidi/>
        <w:spacing w:after="120" w:line="360"/>
        <w:jc w:val="both"/>
      </w:pPr>
      <w:r>
        <w:rPr>
          <w:rFonts w:ascii="David" w:cs="David" w:eastAsia="David" w:hAnsi="David"/>
          <w:sz w:val="24"/>
          <w:szCs w:val="24"/>
          <w:rtl/>
        </w:rPr>
        <w:t xml:space="preserve">הסיפור נמסר כזיכרון בגוף ראשון, בזמן עבר, ומנקודת מבטו של ילד שהתבגר. המבנה הזה יוצר פער בין מה שהילד הבין אז לבין מה שהמבוגר מבין היום, והפער הוא מקור המשמעות. הסיפור נמנע מהסבר: מי הדופקים, מה הם רוצים מ"שיפמן", מדוע האב אינו פותח. הקורא נותר עם התגובות בלבד. קצמן (2005) מתאר את עולמו של קרת כעולם שבו הדמויות בונות לעצמן סדר פרטי, מעין מיתוס קטן, במקום הסדר הציבורי שקרס. הבית הסגור בסיפור הוא סדר כזה: יש בו חוקים ברורים (לא פותחים, לא מפחדים, מתחבאים בפינה), ויש בו הסבר לכל דבר, גם אם ההסבר הוא "סתם קולות".</w:t>
      </w:r>
    </w:p>
    <w:p>
      <w:pPr>
        <w:pStyle w:val="Heading2"/>
        <w:bidi/>
        <w:spacing w:after="120" w:before="240" w:line="360"/>
        <w:jc w:val="right"/>
      </w:pPr>
      <w:r>
        <w:rPr>
          <w:rFonts w:ascii="David" w:cs="David" w:eastAsia="David" w:hAnsi="David"/>
          <w:b/>
          <w:bCs/>
          <w:sz w:val="28"/>
          <w:szCs w:val="28"/>
          <w:rtl/>
        </w:rPr>
        <w:t xml:space="preserve">2.2 הקושי: פחד, פלישה ובדידות</w:t>
      </w:r>
    </w:p>
    <w:p>
      <w:pPr>
        <w:bidi/>
        <w:spacing w:after="120" w:line="360"/>
        <w:jc w:val="both"/>
      </w:pPr>
      <w:r>
        <w:rPr>
          <w:rFonts w:ascii="David" w:cs="David" w:eastAsia="David" w:hAnsi="David"/>
          <w:sz w:val="24"/>
          <w:szCs w:val="24"/>
          <w:rtl/>
        </w:rPr>
        <w:t xml:space="preserve">הקושי שבמרכז הסיפור הוא איום מתמשך על הבית. הקולות קוראים בשם: "שיפמן, תפתח את הדלת. אנחנו יודעים שאתה שם" (קרת, 1994, עמ' __). האיום אינו מוסבר, ודווקא לכן הוא מאיים: על פי המודל של לזרוס ופולקמן, לחץ נוצר כאשר האדם מעריך מצב כמסוכן וכעולה על המשאבים העומדים לרשותו, ובשלב ההערכה הראשונית הוא שואל מה עלול לקרות לו (Lazarus &amp; Folkman, 1984). בבית של שיפמן אין תשובה לשאלה הזאת, ולכן הפחד אינו נגמר. הילד מודה בפשטות: "ואני הייתי קצת מפחד מהם".</w:t>
      </w:r>
    </w:p>
    <w:p>
      <w:pPr>
        <w:bidi/>
        <w:spacing w:after="120" w:line="360"/>
        <w:jc w:val="both"/>
      </w:pPr>
      <w:r>
        <w:rPr>
          <w:rFonts w:ascii="David" w:cs="David" w:eastAsia="David" w:hAnsi="David"/>
          <w:sz w:val="24"/>
          <w:szCs w:val="24"/>
          <w:rtl/>
        </w:rPr>
        <w:t xml:space="preserve">לצד הפחד יש בדידות. בסיפור אין שכנים, אין משטרה, אין קרובים. יש רק אב, אם וילד, והאם שותקת לאורך כל הסיפור. הסיפור עצמו מעמיד את שתיקתה מול הקולות שבחוץ: האנשים החלולים הם קול בלי גוף, והאם היא גוף בלי קול. המשפחה מתקיימת בין שני הקצוות האלה, ומי שמחזיק אותה יחד הוא האב, בעזרת הלחישה והחיבוק. אומר-שרמן (Omer-Sherman, 2020) מזכיר כי קרת גדל בבית של ניצולי שואה, שבו הפחד היה נוכח בלי שיוסבר, ושהסיפורים של ההורים היו הדרך שבה הועבר הפחד וגם הדרך שבה הוא הורגע. הבית של שיפמן פועל באותו אופן: הפחד נמסר יחד עם ההסבר שאמור לפרק אותו.</w:t>
      </w:r>
    </w:p>
    <w:p>
      <w:pPr>
        <w:pStyle w:val="Heading2"/>
        <w:bidi/>
        <w:spacing w:after="120" w:before="240" w:line="360"/>
        <w:jc w:val="right"/>
      </w:pPr>
      <w:r>
        <w:rPr>
          <w:rFonts w:ascii="David" w:cs="David" w:eastAsia="David" w:hAnsi="David"/>
          <w:b/>
          <w:bCs/>
          <w:sz w:val="28"/>
          <w:szCs w:val="28"/>
          <w:rtl/>
        </w:rPr>
        <w:t xml:space="preserve">2.3 דרכי ההתמודדות של האב</w:t>
      </w:r>
    </w:p>
    <w:p>
      <w:pPr>
        <w:bidi/>
        <w:spacing w:after="120" w:line="360"/>
        <w:jc w:val="both"/>
      </w:pPr>
      <w:r>
        <w:rPr>
          <w:rFonts w:ascii="David" w:cs="David" w:eastAsia="David" w:hAnsi="David"/>
          <w:sz w:val="24"/>
          <w:szCs w:val="24"/>
          <w:rtl/>
        </w:rPr>
        <w:t xml:space="preserve">האב נוקט שלוש דרכי התמודדות, ואף אחת מהן אינה פותרת את הבעיה. הראשונה היא הימנעות: הדלת נעולה, התריסים סגורים, והמקום הבטוח הוא פינה ליד הפסנתר. לזרוס ופולקמן מבחינים בין התמודדות ממוקדת בעיה, המכוונת לשנות את המצב עצמו, לבין התמודדות ממוקדת רגש, המכוונת לווסת את התחושה שהמצב מעורר (Lazarus &amp; Folkman, 1984). האב אינו מנסה לברר מי דופק, אינו פותח ואינו מבקש עזרה. כל מעשיו שייכים לסוג השני.</w:t>
      </w:r>
    </w:p>
    <w:p>
      <w:pPr>
        <w:bidi/>
        <w:spacing w:after="120" w:line="360"/>
        <w:jc w:val="both"/>
      </w:pPr>
      <w:r>
        <w:rPr>
          <w:rFonts w:ascii="David" w:cs="David" w:eastAsia="David" w:hAnsi="David"/>
          <w:sz w:val="24"/>
          <w:szCs w:val="24"/>
          <w:rtl/>
        </w:rPr>
        <w:t xml:space="preserve">הדרך השנייה היא הסבר מחדש של המציאות. "אל תפחד," הוא לוחש, "אין ממה לפחד, זה בסך הכול האנשים החלולים", ובהמשך: "הם אנשים חלולים, בלי גוף, בלי כלום, סתם קולות" (קרת, 1994, עמ' __). זוהי הערכה מחודשת במובן המדויק של המושג: האיום אינו משתנה, אבל המשמעות שלו משתנה, ומי שאין לו גוף אינו יכול לפגוע. שוורץ (Schwartz, 2018) רואה במילה "סתם" מפתח להומור של קרת: היא מרוקנת את הדברים מכובדם ומאפשרת לדמויות לחיות לצד מה שאי אפשר לשנות. האב משתמש במילה הזאת ככלי חינוכי, והילד לומד להשתמש בה בעצמו.</w:t>
      </w:r>
    </w:p>
    <w:p>
      <w:pPr>
        <w:bidi/>
        <w:spacing w:after="120" w:line="360"/>
        <w:jc w:val="both"/>
      </w:pPr>
      <w:r>
        <w:rPr>
          <w:rFonts w:ascii="David" w:cs="David" w:eastAsia="David" w:hAnsi="David"/>
          <w:sz w:val="24"/>
          <w:szCs w:val="24"/>
          <w:rtl/>
        </w:rPr>
        <w:t xml:space="preserve">הדרך השלישית היא הגוף. האב "נשען עם הגב שלו על דופן הפסנתר ומחבק אותי חזק-חזק", והלחישה נאמרת "באוזן". הוויסות הרגשי אינו נעשה רק במילים אלא במגע, ובמובן זה ההתמודדות היא משותפת: האב מרגיע את הילד, והילד, שנמצא בזרועותיו, מאפשר לאב להיות מי שאינו מפחד. כל שלוש הדרכים שומרות על שני האנשים בחיים ובתוך הבית. אף אחת מהן אינה מוציאה אותם ממנו.</w:t>
      </w:r>
    </w:p>
    <w:p>
      <w:pPr>
        <w:pStyle w:val="Heading2"/>
        <w:bidi/>
        <w:spacing w:after="120" w:before="240" w:line="360"/>
        <w:jc w:val="right"/>
      </w:pPr>
      <w:r>
        <w:rPr>
          <w:rFonts w:ascii="David" w:cs="David" w:eastAsia="David" w:hAnsi="David"/>
          <w:b/>
          <w:bCs/>
          <w:sz w:val="28"/>
          <w:szCs w:val="28"/>
          <w:rtl/>
        </w:rPr>
        <w:t xml:space="preserve">2.4 יחסי אב ובן: הורשת הפחד והורשת ההתמודדות</w:t>
      </w:r>
    </w:p>
    <w:p>
      <w:pPr>
        <w:bidi/>
        <w:spacing w:after="120" w:line="360"/>
        <w:jc w:val="both"/>
      </w:pPr>
      <w:r>
        <w:rPr>
          <w:rFonts w:ascii="David" w:cs="David" w:eastAsia="David" w:hAnsi="David"/>
          <w:sz w:val="24"/>
          <w:szCs w:val="24"/>
          <w:rtl/>
        </w:rPr>
        <w:t xml:space="preserve">הלחישה של האב היא גם שיעור. הבן לומד לחזות את הקולות: "ואבא היה ממלמל לי בשקט באוזן והם היו ממלמלים בחוץ אחריו, כמו הד", ובהמשך "לפעמים אבא היה אומר את מה שיגידו ולפעמים אני" (קרת, 1994, עמ' __). נוצרת שרשרת של הדים: הקולות חוזרים על האב, הבן חוזר על האב, ובסוף הבן חוזר על הקולות. ההתמודדות עוברת מדור לדור באותה דרך שבה עובר הפחד.</w:t>
      </w:r>
    </w:p>
    <w:p>
      <w:pPr>
        <w:bidi/>
        <w:spacing w:after="120" w:line="360"/>
        <w:jc w:val="both"/>
      </w:pPr>
      <w:r>
        <w:rPr>
          <w:rFonts w:ascii="David" w:cs="David" w:eastAsia="David" w:hAnsi="David"/>
          <w:sz w:val="24"/>
          <w:szCs w:val="24"/>
          <w:rtl/>
        </w:rPr>
        <w:t xml:space="preserve">הדפוס הזה מוכר ממחקרים על הדור השני והשלישי לשואה בכתיבתו של קרת. אומר-שרמן מראה כיצד סיפורי ההורים בבית של קרת הפכו לחומר שממנו נבנית הזהות של הבן, וכיצד ההומור והפנטזיה משמשים את הבן כדי לשאת את מה שקיבל (Omer-Sherman, 2020). אברמוביץ' מוסיף שגיבוריו הצעירים של קרת יורשים לא רק זיכרון אלא גם תחושת אשמה כלפי הדור שקדם להם, ושהסיפורים מפרקים את הזיכרון הרשמי לטובת זיכרון פרטי ומבולבל (Abramovich, 2019). ב"האנשים החלולים" האשמה מופיעה בעדינות. המספר הבוגר מתפלא "על זה שפעם פחדתי כל-כך", כאילו הפחד היה חולשה שיש להתבייש בה, ובסיום הוא שותק על הקבר. השתיקה היא גם חרטה: הבן שהאב חיבק "כשעוד פחדתי" לא הצליח להשיב לאב את מה שקיבל ממנו.</w:t>
      </w:r>
    </w:p>
    <w:p>
      <w:pPr>
        <w:pStyle w:val="Heading2"/>
        <w:bidi/>
        <w:spacing w:after="120" w:before="240" w:line="360"/>
        <w:jc w:val="right"/>
      </w:pPr>
      <w:r>
        <w:rPr>
          <w:rFonts w:ascii="David" w:cs="David" w:eastAsia="David" w:hAnsi="David"/>
          <w:b/>
          <w:bCs/>
          <w:sz w:val="28"/>
          <w:szCs w:val="28"/>
          <w:rtl/>
        </w:rPr>
        <w:t xml:space="preserve">2.5 התמודדות עם אובדן: מות האם ומות האב</w:t>
      </w:r>
    </w:p>
    <w:p>
      <w:pPr>
        <w:bidi/>
        <w:spacing w:after="120" w:line="360"/>
        <w:jc w:val="both"/>
      </w:pPr>
      <w:r>
        <w:rPr>
          <w:rFonts w:ascii="David" w:cs="David" w:eastAsia="David" w:hAnsi="David"/>
          <w:sz w:val="24"/>
          <w:szCs w:val="24"/>
          <w:rtl/>
        </w:rPr>
        <w:t xml:space="preserve">מותה של האם מתואר במשפט אחד: "ואמא מתה בלי קול אבל עם גוף, והלכנו לקבור אותה" (קרת, 1994, עמ' __). האב מתמודד עם האובדן באותה שיטה שבה התמודד עם הקולות: הוא ממיין. את האיש הזר שבוכה על הקבר הוא מזהה, "בדיוק איזה בכיות", כאחד מהם, ומראה לבן בספר. גם האבל מקבל חוקים, וגם הבכי של הזר נעשה "סתם קולות". רובין מתאר את האבל כתהליך הנע בשני מסלולים: מסלול התפקוד, שבו האדם ממשיך לחיות ולעשות, ומסלול הקשר עם המת, שנמשך גם אחרי המוות (Rubin, 1999). בבית של שיפמן מסלול התפקוד נשמר בקפדנות (קוברים, שותקים, חוזרים לפינה), ומסלול הקשר עם האם אינו מופיע כלל. האם נעלמת מן הסיפור כשם שנעלמה ממנו בחייה.</w:t>
      </w:r>
    </w:p>
    <w:p>
      <w:pPr>
        <w:bidi/>
        <w:spacing w:after="120" w:line="360"/>
        <w:jc w:val="both"/>
      </w:pPr>
      <w:r>
        <w:rPr>
          <w:rFonts w:ascii="David" w:cs="David" w:eastAsia="David" w:hAnsi="David"/>
          <w:sz w:val="24"/>
          <w:szCs w:val="24"/>
          <w:rtl/>
        </w:rPr>
        <w:t xml:space="preserve">מות האב הוא רגע היפוך. הוא מת "בפינה שם ליד הפסנתר, כשאני מחבק אותו את החיבוק שהיה מחבק אותי כשעוד פחדתי" (קרת, 1994, עמ' __). הבן נעשה למחבק, והאב למי שאינו עונה. על הקבר חוזר הטקס של האם: איש בוכה "את הבכיות שידעתי שיבכה מהספר", והאב שותק. ואז: "ואני שתקתי אחריו". השתיקה של הבן היא הד לשתיקת האב, כפי שהמילים היו הד ללחישה. במונחיו של רובין, הבן ממשיך את הקשר עם האב המת בדרך היחידה שלמד: לחזור אחריו. כהן (2015) מראה שאחרי מות של בן משפחה, כל אחד מבני המשפחה נע על ציר אבל משלו, ושהתקשורת ביניהם נפגעת. בסיפור של קרת התקשורת מתפוררת עד לשתיקה גמורה, כי אין עוד עם מי לדבר.</w:t>
      </w:r>
    </w:p>
    <w:p>
      <w:pPr>
        <w:pStyle w:val="Heading2"/>
        <w:bidi/>
        <w:spacing w:after="120" w:before="240" w:line="360"/>
        <w:jc w:val="right"/>
      </w:pPr>
      <w:r>
        <w:rPr>
          <w:rFonts w:ascii="David" w:cs="David" w:eastAsia="David" w:hAnsi="David"/>
          <w:b/>
          <w:bCs/>
          <w:sz w:val="28"/>
          <w:szCs w:val="28"/>
          <w:rtl/>
        </w:rPr>
        <w:t xml:space="preserve">2.6 מחיר ההתמודדות: "סתם, ממש סתם"</w:t>
      </w:r>
    </w:p>
    <w:p>
      <w:pPr>
        <w:bidi/>
        <w:spacing w:after="120" w:line="360"/>
        <w:jc w:val="both"/>
      </w:pPr>
      <w:r>
        <w:rPr>
          <w:rFonts w:ascii="David" w:cs="David" w:eastAsia="David" w:hAnsi="David"/>
          <w:sz w:val="24"/>
          <w:szCs w:val="24"/>
          <w:rtl/>
        </w:rPr>
        <w:t xml:space="preserve">המספר הבוגר מסכם את מה שנותר לו מן השיטה של אביו: "והיום המלים שלי חוזרות מהם כמו כדור טניס שזרקתי על קיר. סתם, ממש סתם" (קרת, 1994, עמ' __). המילים שהיו אמורות להגן חוזרות ריקות. הכפלת המילה "סתם" מדגישה שהריקון פועל לשני הכיוונים: האב רוקן את הקולות מגוף, והבן התרוקן בעצמו.</w:t>
      </w:r>
    </w:p>
    <w:p>
      <w:pPr>
        <w:bidi/>
        <w:spacing w:after="120" w:line="360"/>
        <w:jc w:val="both"/>
      </w:pPr>
      <w:r>
        <w:rPr>
          <w:rFonts w:ascii="David" w:cs="David" w:eastAsia="David" w:hAnsi="David"/>
          <w:sz w:val="24"/>
          <w:szCs w:val="24"/>
          <w:rtl/>
        </w:rPr>
        <w:t xml:space="preserve">מנדלסון-מעוז מזהה בסיפוריו של קרת דמויות של "מתים-חיים", אנשים שנמצאים בין החיים למוות ומשמשים לקרת כדי לבחון את הקורבן ואת הגבריות הישראלית (Mendelson-Maoz, 2018). "האנשים החלולים" מציע גרסה שקטה של הדמות הזאת. הבן חי, מדבר ועומד על קבר, אבל הוא מגדיר את עצמו כאחד מהם. השיטה של האב הצליחה, כי הילד לא נפגע, ונכשלה, כי הילד לא נשאר שלם. במונחי לזרוס ופולקמן (Lazarus &amp; Folkman, 1984), התמודדות ממוקדת רגש מתאימה למצבים שאינם ניתנים לשינוי, ומחירה עלול להיות התרחקות מן המציאות. הסיפור מראה את שני הצדדים בבת אחת ואינו מכריע ביניהם. זו תשובתו הראשונה של קרת לשאלת המחקר על מחיר ההתמודדות: ההגנה והריקון הם אותו מעשה.</w:t>
      </w:r>
    </w:p>
    <w:p>
      <w:r>
        <w:br w:type="page"/>
      </w:r>
    </w:p>
    <w:p>
      <w:pPr>
        <w:pStyle w:val="Heading1"/>
        <w:bidi/>
        <w:spacing w:after="200" w:before="360" w:line="360"/>
        <w:jc w:val="right"/>
      </w:pPr>
      <w:r>
        <w:rPr>
          <w:rFonts w:ascii="David" w:cs="David" w:eastAsia="David" w:hAnsi="David"/>
          <w:b/>
          <w:bCs/>
          <w:sz w:val="32"/>
          <w:szCs w:val="32"/>
          <w:rtl/>
        </w:rPr>
        <w:t xml:space="preserve">פרק 3: "מי כמונו יודע": דיבור, אידאולוגיה, הסתרה וכתיבה כדרכי התמודדות</w:t>
      </w:r>
    </w:p>
    <w:p>
      <w:pPr>
        <w:pStyle w:val="Heading2"/>
        <w:bidi/>
        <w:spacing w:after="120" w:before="240" w:line="360"/>
        <w:jc w:val="right"/>
      </w:pPr>
      <w:r>
        <w:rPr>
          <w:rFonts w:ascii="David" w:cs="David" w:eastAsia="David" w:hAnsi="David"/>
          <w:b/>
          <w:bCs/>
          <w:sz w:val="28"/>
          <w:szCs w:val="28"/>
          <w:rtl/>
        </w:rPr>
        <w:t xml:space="preserve">3.1 תקציר הסיפור ומבנהו</w:t>
      </w:r>
    </w:p>
    <w:p>
      <w:pPr>
        <w:bidi/>
        <w:spacing w:after="120" w:line="360"/>
        <w:jc w:val="both"/>
      </w:pPr>
      <w:r>
        <w:rPr>
          <w:rFonts w:ascii="David" w:cs="David" w:eastAsia="David" w:hAnsi="David"/>
          <w:sz w:val="24"/>
          <w:szCs w:val="24"/>
          <w:rtl/>
        </w:rPr>
        <w:t xml:space="preserve">"מי כמונו יודע" נדפס בקובץ אוטוקורקט (קרת, 2024), שלושים שנה אחרי געגועי לקיסינג'ר. המספר, סופר, יושב בבית קפה מול סופר אמריקאי "שלא הפסיק לדבר". האמריקאי כתב שלושה ספרים, אחד מהם זכה בפרס בין-לאומי "שלא שמעתי עליו מעולם", וכל משפט שני שלו נפתח במילים "ומי כמונו יודע". הוא מספר על חייו: לימודי כתיבה במערב התיכון, משפחה, ילד שנהרג בתאונת דרכים, גירושים, גיור, התפקרות והצטרפות לתנועה עולמית של מינימליזם. ברשותו שני זוגות תחתונים ועט אחד. המספר, שכותב במחשב ושיש לו לפחות עשרים זוגות תחתונים, מסתיר את שני הדברים. האמריקאי מפנה את תשומת לבו לשקיעה שמאחורי כתפו, מכריז שהם "בני מזל" כי הכתיבה מאפשרת להם לשמר את היופי לנצח, ומודיע שיכתוב על השקיעה הזאת. המספר, שצווארו כבר כואב, אומר "גם אני", ויודע שהסיפור הבא שלו "הולך להיות על מישהו שנתפס לו הצוואר" (קרת, 2024, עמ' __).</w:t>
      </w:r>
    </w:p>
    <w:p>
      <w:pPr>
        <w:bidi/>
        <w:spacing w:after="120" w:line="360"/>
        <w:jc w:val="both"/>
      </w:pPr>
      <w:r>
        <w:rPr>
          <w:rFonts w:ascii="David" w:cs="David" w:eastAsia="David" w:hAnsi="David"/>
          <w:sz w:val="24"/>
          <w:szCs w:val="24"/>
          <w:rtl/>
        </w:rPr>
        <w:t xml:space="preserve">הסיפור בנוי כסצנה אחת, וכמעט כולו דיבור של האמריקאי, במסירה ישירה ועקיפה. המספר מדבר בקול רק שלוש פעמים: הוא אומר שהוא כותב במחשב, הוא אומר שאינו זוכר כמה תחתונים יש לו, והוא אומר "גם אני". שאר דבריו נאמרים בתוכו, אל הקורא. גם כאן, כמו ב"האנשים החלולים", המספר הוא מאזין. ההבדל הוא שהמאזין הזה כותב, והסיפור שאנחנו קוראים הוא המעשה שהוא בוחר לעשות.</w:t>
      </w:r>
    </w:p>
    <w:p>
      <w:pPr>
        <w:pStyle w:val="Heading2"/>
        <w:bidi/>
        <w:spacing w:after="120" w:before="240" w:line="360"/>
        <w:jc w:val="right"/>
      </w:pPr>
      <w:r>
        <w:rPr>
          <w:rFonts w:ascii="David" w:cs="David" w:eastAsia="David" w:hAnsi="David"/>
          <w:b/>
          <w:bCs/>
          <w:sz w:val="28"/>
          <w:szCs w:val="28"/>
          <w:rtl/>
        </w:rPr>
        <w:t xml:space="preserve">3.2 הקושי: אובדן, כישלון ובדידות</w:t>
      </w:r>
    </w:p>
    <w:p>
      <w:pPr>
        <w:bidi/>
        <w:spacing w:after="120" w:line="360"/>
        <w:jc w:val="both"/>
      </w:pPr>
      <w:r>
        <w:rPr>
          <w:rFonts w:ascii="David" w:cs="David" w:eastAsia="David" w:hAnsi="David"/>
          <w:sz w:val="24"/>
          <w:szCs w:val="24"/>
          <w:rtl/>
        </w:rPr>
        <w:t xml:space="preserve">הקושי בסיפור מתחלק בין שני האנשים. הסופר האמריקאי איבד ילד, איבד משפחה, החליף אמונה פעמיים והצטמצם לשני זוגות תחתונים. הוא זכה בפרס שאיש אינו מכיר. כהן (2015) מתארת את מה שקורה למשפחה אחרי מות של ילד בוגר: ההורים והאחים נעים על צירי אבל שונים, והתקשורת ביניהם נשחקת. הגירושים של האמריקאי, המופיעים ברשימה מיד אחרי התאונה, הם התוצאה המוכרת של השחיקה הזאת. הסיפור אינו מפרט, והרשימה עצמה, שבה מוות של ילד עומד ליד הצטרפות לתנועת מינימליזם, אומרת יותר מכל פירוט.</w:t>
      </w:r>
    </w:p>
    <w:p>
      <w:pPr>
        <w:bidi/>
        <w:spacing w:after="120" w:line="360"/>
        <w:jc w:val="both"/>
      </w:pPr>
      <w:r>
        <w:rPr>
          <w:rFonts w:ascii="David" w:cs="David" w:eastAsia="David" w:hAnsi="David"/>
          <w:sz w:val="24"/>
          <w:szCs w:val="24"/>
          <w:rtl/>
        </w:rPr>
        <w:t xml:space="preserve">הקושי של המספר קטן יותר ומיידי יותר. הוא יושב מול זר שמדבר בלי הפסקה, נגרר לתוך "אנחנו" שלא ביקש, מפחד לאבד את הקרבה שנכפתה עליו, ובסוף כואב לו הצוואר. במונחי לזרוס ופולקמן (Lazarus &amp; Folkman, 1984), ההערכה הראשונית של המספר היא שהמצב מאיים על נוחותו ועל דימויו העצמי, וההערכה המשנית מגלה שהמשאבים שבידיו מעטים: נימוס, הנהון והסתרה.</w:t>
      </w:r>
    </w:p>
    <w:p>
      <w:pPr>
        <w:pStyle w:val="Heading2"/>
        <w:bidi/>
        <w:spacing w:after="120" w:before="240" w:line="360"/>
        <w:jc w:val="right"/>
      </w:pPr>
      <w:r>
        <w:rPr>
          <w:rFonts w:ascii="David" w:cs="David" w:eastAsia="David" w:hAnsi="David"/>
          <w:b/>
          <w:bCs/>
          <w:sz w:val="28"/>
          <w:szCs w:val="28"/>
          <w:rtl/>
        </w:rPr>
        <w:t xml:space="preserve">3.3 "ומי כמונו יודע": השפה כחיפוש שייכות</w:t>
      </w:r>
    </w:p>
    <w:p>
      <w:pPr>
        <w:bidi/>
        <w:spacing w:after="120" w:line="360"/>
        <w:jc w:val="both"/>
      </w:pPr>
      <w:r>
        <w:rPr>
          <w:rFonts w:ascii="David" w:cs="David" w:eastAsia="David" w:hAnsi="David"/>
          <w:sz w:val="24"/>
          <w:szCs w:val="24"/>
          <w:rtl/>
        </w:rPr>
        <w:t xml:space="preserve">הנוסחה החוזרת "ומי כמונו יודע" היא דרך ההתמודדות הבולטת של האמריקאי. היא הופכת כל טענה פרטית שלו לידע משותף, ואת המאזין לשותף. המספר מתאר את תוצאתה בדימוי גופני:</w:t>
      </w:r>
    </w:p>
    <w:p>
      <w:pPr>
        <w:bidi/>
        <w:spacing w:after="160" w:line="360"/>
        <w:ind w:left="720" w:right="720"/>
        <w:jc w:val="both"/>
      </w:pPr>
      <w:r>
        <w:rPr>
          <w:rFonts w:ascii="David" w:cs="David" w:eastAsia="David" w:hAnsi="David"/>
          <w:sz w:val="24"/>
          <w:szCs w:val="24"/>
          <w:rtl/>
        </w:rPr>
        <w:t xml:space="preserve">זה גרם לי להרגיש כאילו אנחנו ישות אחת, תאומים סיאמיים שאמנם יכולים לנופף עצמאית, כל אחד בזרועותיו שלו, אבל חולקים לב אחד גדול וכואב שפועם כמו מטרונום ענקי שרק הוא ואני יכולים לשמוע (קרת, 2024, עמ' __).</w:t>
      </w:r>
    </w:p>
    <w:p>
      <w:pPr>
        <w:bidi/>
        <w:spacing w:after="120" w:line="360"/>
        <w:jc w:val="both"/>
      </w:pPr>
      <w:r>
        <w:rPr>
          <w:rFonts w:ascii="David" w:cs="David" w:eastAsia="David" w:hAnsi="David"/>
          <w:sz w:val="24"/>
          <w:szCs w:val="24"/>
          <w:rtl/>
        </w:rPr>
        <w:t xml:space="preserve">הדימוי מתאר שייכות כפויה. הלב המשותף "כואב", והמטרונום, מכשיר שקובע קצב, נשמע רק לשניהם. הדיבור הבלתי פוסק הוא ויסות רגשי: האמריקאי מדבר "כאילו יש לו יותר מדי דברים להגיד והוא חייב להספיק את כולם", ומי שחייב להספיק פוחד שייגמר לו הזמן. לזרוס ופולקמן מונים את חיפוש התמיכה החברתית בין דרכי ההתמודדות ממוקדות הרגש (Lazarus &amp; Folkman, 1984). כאן התמיכה אינה מתבקשת אלא נלקחת. קצמן (2005) מתאר את דמויותיו של קרת כמי שמתגעגעות למיתוס, לסיפור גדול שיעניק לחייהן סדר. הנוסחה "ומי כמונו יודע" היא ניסיון לייצר מיתוס כזה בזמן אמת: שני סופרים, לב אחד, ידיעה שאין לאחרים.</w:t>
      </w:r>
    </w:p>
    <w:p>
      <w:pPr>
        <w:pStyle w:val="Heading2"/>
        <w:bidi/>
        <w:spacing w:after="120" w:before="240" w:line="360"/>
        <w:jc w:val="right"/>
      </w:pPr>
      <w:r>
        <w:rPr>
          <w:rFonts w:ascii="David" w:cs="David" w:eastAsia="David" w:hAnsi="David"/>
          <w:b/>
          <w:bCs/>
          <w:sz w:val="28"/>
          <w:szCs w:val="28"/>
          <w:rtl/>
        </w:rPr>
        <w:t xml:space="preserve">3.4 מינימליזם והחלפת אמונות: בנייה מחדש של החיים אחרי אובדן</w:t>
      </w:r>
    </w:p>
    <w:p>
      <w:pPr>
        <w:bidi/>
        <w:spacing w:after="120" w:line="360"/>
        <w:jc w:val="both"/>
      </w:pPr>
      <w:r>
        <w:rPr>
          <w:rFonts w:ascii="David" w:cs="David" w:eastAsia="David" w:hAnsi="David"/>
          <w:sz w:val="24"/>
          <w:szCs w:val="24"/>
          <w:rtl/>
        </w:rPr>
        <w:t xml:space="preserve">רשימת האירועים בחיי האמריקאי מגלה דפוס: אחרי האובדן הוא מחליף מסגרת אחרי מסגרת. גיור, התפקרות, תנועה עולמית. כל מסגרת מציעה חוקים חדשים, והמינימליזם מציע את החוקים הפשוטים ביותר: שני זוגות תחתונים, עט אחד. הוא מסביר בגאווה: "בנאדם צריך תמיד שיהיה לו עוד זוג תחתונים, להחלפה, אבל עט? אחד זה די והותר" (קרת, 2024, עמ' __). ההומור של המשפט, שבו קרץ האמריקאי למספר, הוא מסוג ההומור ששוורץ (Schwartz, 2018) מזהה אצל קרת: צחוק שאינו מבטל את הכאב אלא מאפשר לחיות לידו.</w:t>
      </w:r>
    </w:p>
    <w:p>
      <w:pPr>
        <w:bidi/>
        <w:spacing w:after="120" w:line="360"/>
        <w:jc w:val="both"/>
      </w:pPr>
      <w:r>
        <w:rPr>
          <w:rFonts w:ascii="David" w:cs="David" w:eastAsia="David" w:hAnsi="David"/>
          <w:sz w:val="24"/>
          <w:szCs w:val="24"/>
          <w:rtl/>
        </w:rPr>
        <w:t xml:space="preserve">מה מעמדה של הדרך הזאת במונחי ההתמודדות? לכאורה היא ממוקדת בעיה, שהרי האדם משנה את חייו בפועל. אבל הבעיה, מות הילד, אינה ניתנת לשינוי, ולכן השינוי החיצוני הוא בעצם ויסות רגשי: שליטה במה שאפשר לשלוט בו, החפצים, במקום במה שאי אפשר. רובין מבחין בין מסלול התפקוד לבין מסלול הקשר עם המת (Rubin, 1999). האמריקאי מתפקד היטב: הוא כותב, נוסע, מרצה, מנחה. אבל הילד שמת מופיע בדבריו רק כפריט ברשימה, בין הקמת המשפחה לבין הגירושים. מסלול הקשר עם המת שותק, בדיוק כפי ששתק מסלול הקשר עם האם ב"האנשים החלולים". גם כאן ההתמודדות היא הסבר מחדש של המציאות: הכאב הפרטי מתורגם לתאוריה על יצירה, על מינימליזם ועל "מי כמונו".</w:t>
      </w:r>
    </w:p>
    <w:p>
      <w:pPr>
        <w:pStyle w:val="Heading2"/>
        <w:bidi/>
        <w:spacing w:after="120" w:before="240" w:line="360"/>
        <w:jc w:val="right"/>
      </w:pPr>
      <w:r>
        <w:rPr>
          <w:rFonts w:ascii="David" w:cs="David" w:eastAsia="David" w:hAnsi="David"/>
          <w:b/>
          <w:bCs/>
          <w:sz w:val="28"/>
          <w:szCs w:val="28"/>
          <w:rtl/>
        </w:rPr>
        <w:t xml:space="preserve">3.5 הסתרה והסכמה: התחתונים והשקיעה</w:t>
      </w:r>
    </w:p>
    <w:p>
      <w:pPr>
        <w:bidi/>
        <w:spacing w:after="120" w:line="360"/>
        <w:jc w:val="both"/>
      </w:pPr>
      <w:r>
        <w:rPr>
          <w:rFonts w:ascii="David" w:cs="David" w:eastAsia="David" w:hAnsi="David"/>
          <w:sz w:val="24"/>
          <w:szCs w:val="24"/>
          <w:rtl/>
        </w:rPr>
        <w:t xml:space="preserve">דרך ההתמודדות של המספר שונה. כשהאמריקאי שואל "כמה זוגות תחתונים יש לך בארון?", המספר משיב שאינו זוכר: "ידעתי שיש לי לפחות עשרים, אבל פחדתי להעלות את זה. פחדתי שזה ירחיק בינינו" (קרת, 2024, עמ' __). השקר הקטן נועד לשמור על ה"אנחנו". המספר מעדיף קרבה מזויפת על אמת מרחיקה, ובכך הוא מאשר את הנוסחה של האמריקאי בלי להאמין בה.</w:t>
      </w:r>
    </w:p>
    <w:p>
      <w:pPr>
        <w:bidi/>
        <w:spacing w:after="120" w:line="360"/>
        <w:jc w:val="both"/>
      </w:pPr>
      <w:r>
        <w:rPr>
          <w:rFonts w:ascii="David" w:cs="David" w:eastAsia="David" w:hAnsi="David"/>
          <w:sz w:val="24"/>
          <w:szCs w:val="24"/>
          <w:rtl/>
        </w:rPr>
        <w:t xml:space="preserve">כשהאמריקאי מצביע על השקיעה, המספר מסתובב "מתוך נימוס". השקיעה יפה, "אבל הצוואר שלי התחיל לכאוב". הגוף משלם את מחיר ההסכמה. במונחי לזרוס ופולקמן (Lazarus &amp; Folkman, 1984) זו הימנעות מעימות, ומחירה מופיע לא ברגש אלא בשריר. יש כאן היפוך של הסיפור המוקדם. האב ב"האנשים החלולים" סוגר את הדלת בפני הזרים ומגן על גופו של הבן בחיבוק. המספר ב"מי כמונו יודע" פותח את עצמו לזר ומסובב את צווארו לפי דרישתו. בשני המקרים ההתמודדות שומרת על הקשר, ובשני המקרים היא גובה משהו מן העצמי.</w:t>
      </w:r>
    </w:p>
    <w:p>
      <w:pPr>
        <w:pStyle w:val="Heading2"/>
        <w:bidi/>
        <w:spacing w:after="120" w:before="240" w:line="360"/>
        <w:jc w:val="right"/>
      </w:pPr>
      <w:r>
        <w:rPr>
          <w:rFonts w:ascii="David" w:cs="David" w:eastAsia="David" w:hAnsi="David"/>
          <w:b/>
          <w:bCs/>
          <w:sz w:val="28"/>
          <w:szCs w:val="28"/>
          <w:rtl/>
        </w:rPr>
        <w:t xml:space="preserve">3.6 הכתיבה: פעולת הסחה או שימור היופי</w:t>
      </w:r>
    </w:p>
    <w:p>
      <w:pPr>
        <w:bidi/>
        <w:spacing w:after="120" w:line="360"/>
        <w:jc w:val="both"/>
      </w:pPr>
      <w:r>
        <w:rPr>
          <w:rFonts w:ascii="David" w:cs="David" w:eastAsia="David" w:hAnsi="David"/>
          <w:sz w:val="24"/>
          <w:szCs w:val="24"/>
          <w:rtl/>
        </w:rPr>
        <w:t xml:space="preserve">האמריקאי אומר שני דברים סותרים על הכתיבה. בתחילה הוא טוען ש"יצירה היא בסך הכל פעולת הסחה. מראית עין של מציאות קרנבלית רוחשת שאמורה להסיח את דעתנו מהמציאות האמיתית הקרה, המאכזבת ונטולת הנשמה" (קרת, 2024, עמ' __). בהמשך, מול השקיעה, הוא טוען שהכתיבה מאפשרת "לשמר את היופי הזה לנצח". פעם הכתיבה בורחת מן המציאות, ופעם היא שומרת אותה. שתי הטענות הן דרכי התמודדות של אדם שהמציאות שלו הייתה "קרה ומאכזבת" באמת. קצמן (2005) קורא את כתיבתו של קרת כמיתופואסיס, יצירה של סיפורים קטנים שמעניקים לחיים סדר, ובסיפור הזה קרת מניח את הרעיון בפיה של דמות שמאמינה בו בכל לבה. המספר אינו מתווכח. הוא מהנהן, ואפילו חושב ש"אולי באמת עדיף לכתוב בעט".</w:t>
      </w:r>
    </w:p>
    <w:p>
      <w:pPr>
        <w:bidi/>
        <w:spacing w:after="120" w:line="360"/>
        <w:jc w:val="both"/>
      </w:pPr>
      <w:r>
        <w:rPr>
          <w:rFonts w:ascii="David" w:cs="David" w:eastAsia="David" w:hAnsi="David"/>
          <w:sz w:val="24"/>
          <w:szCs w:val="24"/>
          <w:rtl/>
        </w:rPr>
        <w:t xml:space="preserve">אבל טון הדיבור חושף את מה שמסתתר מאחורי התאוריה. "אני הולך לכתוב על השקיעה הזאת," אומר האמריקאי "בטון נחוש שנשמע כמעט כמו איום". הכתיבה נעשית תחרות ושליטה, ולא רק נחמה. מי שאיבד הכול רוצה להיות לפחות זה שמחזיק את השקיעה.</w:t>
      </w:r>
    </w:p>
    <w:p>
      <w:pPr>
        <w:pStyle w:val="Heading2"/>
        <w:bidi/>
        <w:spacing w:after="120" w:before="240" w:line="360"/>
        <w:jc w:val="right"/>
      </w:pPr>
      <w:r>
        <w:rPr>
          <w:rFonts w:ascii="David" w:cs="David" w:eastAsia="David" w:hAnsi="David"/>
          <w:b/>
          <w:bCs/>
          <w:sz w:val="28"/>
          <w:szCs w:val="28"/>
          <w:rtl/>
        </w:rPr>
        <w:t xml:space="preserve">3.7 הסיום: הצוואר במקום השקיעה</w:t>
      </w:r>
    </w:p>
    <w:p>
      <w:pPr>
        <w:bidi/>
        <w:spacing w:after="120" w:line="360"/>
        <w:jc w:val="both"/>
      </w:pPr>
      <w:r>
        <w:rPr>
          <w:rFonts w:ascii="David" w:cs="David" w:eastAsia="David" w:hAnsi="David"/>
          <w:sz w:val="24"/>
          <w:szCs w:val="24"/>
          <w:rtl/>
        </w:rPr>
        <w:t xml:space="preserve">הסיפור מסתיים בשני משפטים: "'גם אני,' אמרתי, 'גם אני.' כבר אז ידעתי שהסיפור הבא שלי הולך להיות על מישהו שנתפס לו הצוואר" (קרת, 2024, עמ' __). המספר מסכים בקול וחולק בכתב. הוא לא יכתוב על הנשגב אלא על הכאב הקטן, לא על השקיעה אלא על השריר שנתפס בגלל השקיעה. שוורץ (Schwartz, 2018) מתאר את ההומור של קרת כחשיבה שאינה קורבנית: הדמות אינה מתלוננת ואינה נכנעת, אלא מוצאת מה אפשר לעשות עם המצב. כאן המספר עושה מן המפגש סיפור, וזה הסיפור שאנחנו קוראים. ה"אנחנו" של האמריקאי נשבר בשקט, בלי שהאמריקאי ידע.</w:t>
      </w:r>
    </w:p>
    <w:p>
      <w:pPr>
        <w:bidi/>
        <w:spacing w:after="120" w:line="360"/>
        <w:jc w:val="both"/>
      </w:pPr>
      <w:r>
        <w:rPr>
          <w:rFonts w:ascii="David" w:cs="David" w:eastAsia="David" w:hAnsi="David"/>
          <w:sz w:val="24"/>
          <w:szCs w:val="24"/>
          <w:rtl/>
        </w:rPr>
        <w:t xml:space="preserve">דרך ההתמודדות של המספר היא אפוא כפולה: הסכמה בגלוי וכתיבה בסתר. היא שומרת על הקשר ברגע עצמו ומשחררת ממנו אחר כך. בהשוואה לאב ב"האנשים החלולים", שהסבר המציאות שלו נשאר בתוך הבית ומת אתו, המספר של הסיפור המאוחר מוציא את ההסבר החוצה, אל הקורא. גם זה מחיר, כי הצוואר כואב באמת, אבל הכאב מקבל צורה. זו תשובתו השנייה של קרת לשאלת המחיר: ההתמודדות שאינה מרוקנת היא זו שמודה בכאב הקטן במקום להכריז על היופי הגדול.</w:t>
      </w:r>
    </w:p>
    <w:p>
      <w:r>
        <w:br w:type="page"/>
      </w:r>
    </w:p>
    <w:p>
      <w:pPr>
        <w:pStyle w:val="Heading1"/>
        <w:bidi/>
        <w:spacing w:after="200" w:before="360" w:line="360"/>
        <w:jc w:val="right"/>
      </w:pPr>
      <w:r>
        <w:rPr>
          <w:rFonts w:ascii="David" w:cs="David" w:eastAsia="David" w:hAnsi="David"/>
          <w:b/>
          <w:bCs/>
          <w:sz w:val="32"/>
          <w:szCs w:val="32"/>
          <w:rtl/>
        </w:rPr>
        <w:t xml:space="preserve">פרק 4: השוואה בין הסיפורים</w:t>
      </w:r>
    </w:p>
    <w:p>
      <w:pPr>
        <w:pStyle w:val="Heading2"/>
        <w:bidi/>
        <w:spacing w:after="120" w:before="240" w:line="360"/>
        <w:jc w:val="right"/>
      </w:pPr>
      <w:r>
        <w:rPr>
          <w:rFonts w:ascii="David" w:cs="David" w:eastAsia="David" w:hAnsi="David"/>
          <w:b/>
          <w:bCs/>
          <w:sz w:val="28"/>
          <w:szCs w:val="28"/>
          <w:rtl/>
        </w:rPr>
        <w:t xml:space="preserve">4.1 הדמיון: השפה והדמיון כדרך לחיות עם הקושי</w:t>
      </w:r>
    </w:p>
    <w:p>
      <w:pPr>
        <w:bidi/>
        <w:spacing w:after="120" w:line="360"/>
        <w:jc w:val="both"/>
      </w:pPr>
      <w:r>
        <w:rPr>
          <w:rFonts w:ascii="David" w:cs="David" w:eastAsia="David" w:hAnsi="David"/>
          <w:sz w:val="24"/>
          <w:szCs w:val="24"/>
          <w:rtl/>
        </w:rPr>
        <w:t xml:space="preserve">שלושים שנה מפרידות בין שני הסיפורים, ובכל זאת הם בנויים על אותו יסוד. בשניהם המספר הוא מאזין בגוף ראשון שכמעט אינו פועל: הילד שוכב על השטיח ומקשיב ללחישה, והמבוגר יושב בבית הקפה ומקשיב למונולוג. בשניהם ה"קושי" מגיע מבחוץ בצורת קול: דפיקות וקריאות בשם, או דיבור בלתי פוסק בגוף ראשון רבים. ובשניהם דרך ההתמודדות העיקרית אינה פעולה אלא הסבר מחדש של המציאות. האב מכריז שהקולות הם "סתם", והאמריקאי מכריז שהיצירה היא "פעולת הסחה" וש"אנחנו בני מזל". לזרוס ופולקמן היו מכנים את שני ההסברים הערכה מחודשת (Lazarus &amp; Folkman, 1984), וקצמן היה מכנה אותם מיתוס פרטי (קצמן, 2005). אף אחד מן ההסברים אינו משנה את המציאות. שניהם משנים את יכולתן של הדמויות לשאת אותה.</w:t>
      </w:r>
    </w:p>
    <w:p>
      <w:pPr>
        <w:bidi/>
        <w:spacing w:after="120" w:line="360"/>
        <w:jc w:val="both"/>
      </w:pPr>
      <w:r>
        <w:rPr>
          <w:rFonts w:ascii="David" w:cs="David" w:eastAsia="David" w:hAnsi="David"/>
          <w:sz w:val="24"/>
          <w:szCs w:val="24"/>
          <w:rtl/>
        </w:rPr>
        <w:t xml:space="preserve">יש דמיון נוסף, שקט יותר. בשני הסיפורים יש דמות אב. ב"האנשים החלולים" האב הוא אב ממש. ב"מי כמונו יודע" האמריקאי, המבוגר והמנוסה, מלמד את המספר איך לכתוב ("זה מציב אותך בעמדת חולשה"), שואל אותו שאלות אישיות ומורה לו לאן להסתכל. המספר מגיב כמו ילד: מהנהן, מסתיר, מסתובב כשאומרים לו. הסיפור המאוחר משחזר אפוא את מבנה האב והבן בלי משפחה, בין זרים, ומראה שהמבנה שרד את שנות הבגרות. אומר-שרמן (Omer-Sherman, 2020) מתאר כיצד סיפורי ההורים בבית של קרת נעשו לשפה שבה הבן מתמודד עם העולם, ובשני הסיפורים השפה הזאת מגיעה כלחישה או כנוסחה שהבן חוזר אחריה.</w:t>
      </w:r>
    </w:p>
    <w:p>
      <w:pPr>
        <w:pStyle w:val="Heading2"/>
        <w:bidi/>
        <w:spacing w:after="120" w:before="240" w:line="360"/>
        <w:jc w:val="right"/>
      </w:pPr>
      <w:r>
        <w:rPr>
          <w:rFonts w:ascii="David" w:cs="David" w:eastAsia="David" w:hAnsi="David"/>
          <w:b/>
          <w:bCs/>
          <w:sz w:val="28"/>
          <w:szCs w:val="28"/>
          <w:rtl/>
        </w:rPr>
        <w:t xml:space="preserve">4.2 השוני: שתיקה מול דיבור, הסתגרות מול חיבור</w:t>
      </w:r>
    </w:p>
    <w:p>
      <w:pPr>
        <w:bidi/>
        <w:spacing w:after="120" w:line="360"/>
        <w:jc w:val="both"/>
      </w:pPr>
      <w:r>
        <w:rPr>
          <w:rFonts w:ascii="David" w:cs="David" w:eastAsia="David" w:hAnsi="David"/>
          <w:sz w:val="24"/>
          <w:szCs w:val="24"/>
          <w:rtl/>
        </w:rPr>
        <w:t xml:space="preserve">ההבדל הבולט הוא הכיוון. ב"האנשים החלולים" ההתמודדות פונה פנימה: סוגרים דלת, סוגרים תריסים, מתכרבלים בפינה. ב"מי כמונו יודע" ההתמודדות פונה החוצה: מדברים, מצטרפים לתנועות, מכריזים "אנחנו". הבית הסגור מול בית הקפה הפתוח אל הים. ההבדל השני הוא קול. בסיפור המוקדם השתיקה היא שיטה, והיא מסתיימת בשתיקה גמורה על הקבר. בסיפור המאוחר הדיבור הוא שיטה, והוא מסתיים בהחלטה לכתוב. ההבדל השלישי הוא גיל המספר: ילד שאין לו ברירה אלא לקבל את ההסבר של אביו, לעומת מבוגר שיכול להסכים בקול ולחשוב אחרת.</w:t>
      </w:r>
    </w:p>
    <w:p>
      <w:pPr>
        <w:bidi/>
        <w:spacing w:after="120" w:line="360"/>
        <w:jc w:val="both"/>
      </w:pPr>
      <w:r>
        <w:rPr>
          <w:rFonts w:ascii="David" w:cs="David" w:eastAsia="David" w:hAnsi="David"/>
          <w:sz w:val="24"/>
          <w:szCs w:val="24"/>
          <w:rtl/>
        </w:rPr>
        <w:t xml:space="preserve">גם האובדן מוצג אחרת. ב"האנשים החלולים" המוות מתרחש לעיני הקורא, פעמיים, והשתיקה סביבו היא מרכז הסיפור. ב"מי כמונו יודע" מות הילד נזכר בחצי משפט, בין פריטים אחרים, והסיפור אינו חוזר אליו. במונחיו של רובין (Rubin, 1999), שני הסיפורים מראים אנשים שמסלול התפקוד שלהם תקין ומסלול הקשר עם המת שלהם דומם. אבל בסיפור המוקדם הדממה נמסרת בהרחבה, ובמאוחר היא מוסתרת מתחת לדיבור. כהן (2015) מראה שהאבל אחרי מות ילד פוגע קודם כל בתקשורת שבתוך המשפחה, ושני הסיפורים מגיעים לאותה תוצאה בדרכים הפוכות: משפחה שמתפוררת בשתיקה ומשפחה שמתפרקת מאחורי מונולוג.</w:t>
      </w:r>
    </w:p>
    <w:p>
      <w:pPr>
        <w:pStyle w:val="Heading2"/>
        <w:bidi/>
        <w:spacing w:after="120" w:before="240" w:line="360"/>
        <w:jc w:val="right"/>
      </w:pPr>
      <w:r>
        <w:rPr>
          <w:rFonts w:ascii="David" w:cs="David" w:eastAsia="David" w:hAnsi="David"/>
          <w:b/>
          <w:bCs/>
          <w:sz w:val="28"/>
          <w:szCs w:val="28"/>
          <w:rtl/>
        </w:rPr>
        <w:t xml:space="preserve">4.3 המספר בגוף ראשון: הילד ששותק והמבוגר שמהנהן</w:t>
      </w:r>
    </w:p>
    <w:p>
      <w:pPr>
        <w:bidi/>
        <w:spacing w:after="120" w:line="360"/>
        <w:jc w:val="both"/>
      </w:pPr>
      <w:r>
        <w:rPr>
          <w:rFonts w:ascii="David" w:cs="David" w:eastAsia="David" w:hAnsi="David"/>
          <w:sz w:val="24"/>
          <w:szCs w:val="24"/>
          <w:rtl/>
        </w:rPr>
        <w:t xml:space="preserve">בשני הסיפורים המספר נשמע בקולו שלו רק בסיום. הילד: "ואני שתקתי אחריו כי בסופו של דבר גם אני, כנראה, הייתי אחד מהם". המבוגר: "כבר אז ידעתי שהסיפור הבא שלי הולך להיות על מישהו שנתפס לו הצוואר". שני הסיומים הם וידוי, ובשניהם יש מידה של אשמה. הילד מודה שהוא חלול, כלומר שלא הצליח להיות מה שאביו ניסה להגן עליו שיהיה. המבוגר מודה שהסכים בפה ולא בלב, ושהסיפור שלו יבגוד באיש שקרא לו "אחי" בכל משפט שני. אברמוביץ' (Abramovich, 2019) מראה שהאשמה אצל גיבוריו הצעירים של קרת נקשרת לדברים יומיומיים ולא למעשים גדולים, ושני הסיומים מאשרים זאת.</w:t>
      </w:r>
    </w:p>
    <w:p>
      <w:pPr>
        <w:bidi/>
        <w:spacing w:after="120" w:line="360"/>
        <w:jc w:val="both"/>
      </w:pPr>
      <w:r>
        <w:rPr>
          <w:rFonts w:ascii="David" w:cs="David" w:eastAsia="David" w:hAnsi="David"/>
          <w:sz w:val="24"/>
          <w:szCs w:val="24"/>
          <w:rtl/>
        </w:rPr>
        <w:t xml:space="preserve">אבל התוצאה שונה. הווידוי של הילד סוגר את הסיפור בריקנות: "סתם, ממש סתם". הווידוי של המבוגר פותח סיפור אחר. מנדלסון-מעוז (Mendelson-Maoz, 2018) מתארת את דמויותיו של קרת כמתים-חיים, ובסיפור המוקדם המספר מצטרף אליהם. בסיפור המאוחר המספר מסרב, בשקט, להיות אחד מהם: הוא לא יכתוב את השקיעה של האמריקאי, אלא את הצוואר שלו. שוורץ (Schwartz, 2018) רואה בהומור של קרת דרך להפוך את מה שיש למה שאפשר, וסיום הסיפור המאוחר הוא דוגמה מדויקת: הצוואר התפוס נעשה סיפור.</w:t>
      </w:r>
    </w:p>
    <w:p>
      <w:pPr>
        <w:pStyle w:val="Heading2"/>
        <w:bidi/>
        <w:spacing w:after="120" w:before="240" w:line="360"/>
        <w:jc w:val="right"/>
      </w:pPr>
      <w:r>
        <w:rPr>
          <w:rFonts w:ascii="David" w:cs="David" w:eastAsia="David" w:hAnsi="David"/>
          <w:b/>
          <w:bCs/>
          <w:sz w:val="28"/>
          <w:szCs w:val="28"/>
          <w:rtl/>
        </w:rPr>
        <w:t xml:space="preserve">4.4 מן הסיפור המוקדם למאוחר</w:t>
      </w:r>
    </w:p>
    <w:p>
      <w:pPr>
        <w:bidi/>
        <w:spacing w:after="120" w:line="360"/>
        <w:jc w:val="both"/>
      </w:pPr>
      <w:r>
        <w:rPr>
          <w:rFonts w:ascii="David" w:cs="David" w:eastAsia="David" w:hAnsi="David"/>
          <w:sz w:val="24"/>
          <w:szCs w:val="24"/>
          <w:rtl/>
        </w:rPr>
        <w:t xml:space="preserve">הטבלה שלהלן מסכמת את ההשוואה ומקשרת אותה לשלוש שאלות המחקר.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c>
          <w:tcPr>
            <w:tcW w:type="dxa" w:w="220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היבט</w:t>
            </w:r>
          </w:p>
        </w:tc>
        <w:tc>
          <w:tcPr>
            <w:tcW w:type="dxa" w:w="340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"האנשים החלולים" (1994)</w:t>
            </w:r>
          </w:p>
        </w:tc>
        <w:tc>
          <w:tcPr>
            <w:tcW w:type="dxa" w:w="340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"מי כמונו יודע" (2024)</w:t>
            </w:r>
          </w:p>
        </w:tc>
      </w:tr>
      <w:tr>
        <w:tc>
          <w:tcPr>
            <w:tcW w:type="dxa" w:w="22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הקושי (שאלה א)</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פחד מפלישה, אובדן האם והאב, בדידות</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אובדן ילד ופירוק משפחה (הזר); כפייה ומבוכה (המספר)</w:t>
            </w:r>
          </w:p>
        </w:tc>
      </w:tr>
      <w:tr>
        <w:tc>
          <w:tcPr>
            <w:tcW w:type="dxa" w:w="22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דרכי ההתמודדות (שאלה א)</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הימנעות, הסבר מחדש, מגע ולחישה, שתיקה</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דיבור בלתי פוסק, החלפת מסגרות, מינימליזם, הסתרה, כתיבה</w:t>
            </w:r>
          </w:p>
        </w:tc>
      </w:tr>
      <w:tr>
        <w:tc>
          <w:tcPr>
            <w:tcW w:type="dxa" w:w="22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השפה והדמיון (שאלה ב)</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"סתם קולות": קול בלי גוף</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"ומי כמונו יודע": שני גופים, לב אחד</w:t>
            </w:r>
          </w:p>
        </w:tc>
      </w:tr>
      <w:tr>
        <w:tc>
          <w:tcPr>
            <w:tcW w:type="dxa" w:w="22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דמות האב (שאלה ג)</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אב שמגן ומוריש פחד</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זר שמלמד ומכתיב</w:t>
            </w:r>
          </w:p>
        </w:tc>
      </w:tr>
      <w:tr>
        <w:tc>
          <w:tcPr>
            <w:tcW w:type="dxa" w:w="22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המחיר (שאלה ג)</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ריקון: הבן נעשה אחד מהם</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צוואר תפוס; קרבה מזויפת</w:t>
            </w:r>
          </w:p>
        </w:tc>
      </w:tr>
      <w:tr>
        <w:tc>
          <w:tcPr>
            <w:tcW w:type="dxa" w:w="22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הסיום</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שתיקה על הקבר</w:t>
            </w:r>
          </w:p>
        </w:tc>
        <w:tc>
          <w:tcPr>
            <w:tcW w:type="dxa" w:w="3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החלטה לכתוב על הצוואר</w:t>
            </w:r>
          </w:p>
        </w:tc>
      </w:tr>
    </w:tbl>
    <w:p>
      <w:pPr>
        <w:bidi/>
        <w:spacing w:after="120" w:line="360"/>
        <w:jc w:val="both"/>
      </w:pPr>
      <w:r>
        <w:rPr>
          <w:rFonts w:ascii="David" w:cs="David" w:eastAsia="David" w:hAnsi="David"/>
          <w:sz w:val="24"/>
          <w:szCs w:val="24"/>
          <w:rtl/>
        </w:rPr>
        <w:t xml:space="preserve"/>
      </w:r>
    </w:p>
    <w:p>
      <w:pPr>
        <w:bidi/>
        <w:spacing w:after="120" w:line="360"/>
        <w:jc w:val="both"/>
      </w:pPr>
      <w:r>
        <w:rPr>
          <w:rFonts w:ascii="David" w:cs="David" w:eastAsia="David" w:hAnsi="David"/>
          <w:sz w:val="24"/>
          <w:szCs w:val="24"/>
          <w:rtl/>
        </w:rPr>
        <w:t xml:space="preserve">המעבר מן הסיפור המוקדם למאוחר אינו מעבר מכישלון להצלחה. בשני הסיפורים איש אינו פותר את הקושי, ובשניהם ההתמודדות גובה מחיר. מה שהשתנה הוא מקומו של המספר. ב-1994 הוא יורש את ההסבר של אביו ומתרוקן בתוכו. ב-2024 הוא מקבל את ההסבר של הזר בפניו ומחליף אותו בסיפור משלו. ההתמודדות הכנה יותר, על פי קרת המאוחר, אינה זו שמכריזה על היופי הגדול אלא זו שמודה בכאב הקטן. הצוואר התפוס הוא ההיפך מן האנשים החלולים: גוף בלי נאום. ומי שכותב עליו, בניגוד לילד ששתק, אינו חוזר אחרי איש.</w:t>
      </w:r>
    </w:p>
    <w:p>
      <w:r>
        <w:br w:type="page"/>
      </w:r>
    </w:p>
    <w:p>
      <w:pPr>
        <w:bidi/>
        <w:spacing w:after="300" w:line="360"/>
        <w:jc w:val="center"/>
      </w:pPr>
      <w:r>
        <w:rPr>
          <w:rFonts w:ascii="David" w:cs="David" w:eastAsia="David" w:hAnsi="David"/>
          <w:b/>
          <w:bCs/>
          <w:sz w:val="30"/>
          <w:szCs w:val="30"/>
          <w:rtl/>
        </w:rPr>
        <w:t xml:space="preserve">רשימת מקורות</w:t>
      </w:r>
    </w:p>
    <w:p>
      <w:pPr>
        <w:bidi/>
        <w:spacing w:after="160" w:line="360"/>
        <w:ind w:left="720" w:hanging="720"/>
        <w:jc w:val="right"/>
      </w:pPr>
      <w:r>
        <w:rPr>
          <w:rFonts w:ascii="David" w:cs="David" w:eastAsia="David" w:hAnsi="David"/>
          <w:sz w:val="24"/>
          <w:szCs w:val="24"/>
          <w:rtl/>
        </w:rPr>
        <w:t xml:space="preserve">כהן, ד' (2015). בשני צירים שונים: תהליך האבל והתקשורת של הורים ואחים שכולים לאחר אבדן ילד בוגר. </w:t>
      </w:r>
      <w:r>
        <w:rPr>
          <w:rFonts w:ascii="David" w:cs="David" w:eastAsia="David" w:hAnsi="David"/>
          <w:i/>
          <w:iCs/>
          <w:sz w:val="24"/>
          <w:szCs w:val="24"/>
          <w:rtl/>
        </w:rPr>
        <w:t xml:space="preserve">מפגש לעבודה חינוכית-סוציאלית</w:t>
      </w:r>
      <w:r>
        <w:rPr>
          <w:rFonts w:ascii="David" w:cs="David" w:eastAsia="David" w:hAnsi="David"/>
          <w:sz w:val="24"/>
          <w:szCs w:val="24"/>
          <w:rtl/>
        </w:rPr>
        <w:t xml:space="preserve">, כג(41). https://kitvei-et.efshar.org.il/גיליונות/מפגש-41/</w:t>
      </w:r>
    </w:p>
    <w:p>
      <w:pPr>
        <w:bidi/>
        <w:spacing w:after="160" w:line="360"/>
        <w:ind w:left="720" w:hanging="720"/>
        <w:jc w:val="right"/>
      </w:pPr>
      <w:r>
        <w:rPr>
          <w:rFonts w:ascii="David" w:cs="David" w:eastAsia="David" w:hAnsi="David"/>
          <w:sz w:val="24"/>
          <w:szCs w:val="24"/>
          <w:rtl/>
        </w:rPr>
        <w:t xml:space="preserve">קצמן, ר' (2005). געגועים למיתוס: אישיות, אתיקה ואידאולוגיה במיתופואסיס הפוסטמודרני של אתגר קרת. </w:t>
      </w:r>
      <w:r>
        <w:rPr>
          <w:rFonts w:ascii="David" w:cs="David" w:eastAsia="David" w:hAnsi="David"/>
          <w:i/>
          <w:iCs/>
          <w:sz w:val="24"/>
          <w:szCs w:val="24"/>
          <w:rtl/>
        </w:rPr>
        <w:t xml:space="preserve">מכאן</w:t>
      </w:r>
      <w:r>
        <w:rPr>
          <w:rFonts w:ascii="David" w:cs="David" w:eastAsia="David" w:hAnsi="David"/>
          <w:sz w:val="24"/>
          <w:szCs w:val="24"/>
          <w:rtl/>
        </w:rPr>
        <w:t xml:space="preserve">, ד, 20-41.</w:t>
      </w:r>
    </w:p>
    <w:p>
      <w:pPr>
        <w:bidi/>
        <w:spacing w:after="160" w:line="360"/>
        <w:ind w:left="720" w:hanging="720"/>
        <w:jc w:val="right"/>
      </w:pPr>
      <w:r>
        <w:rPr>
          <w:rFonts w:ascii="David" w:cs="David" w:eastAsia="David" w:hAnsi="David"/>
          <w:sz w:val="24"/>
          <w:szCs w:val="24"/>
          <w:rtl/>
        </w:rPr>
        <w:t xml:space="preserve">קרת, א' (1994). האנשים החלולים. בתוך </w:t>
      </w:r>
      <w:r>
        <w:rPr>
          <w:rFonts w:ascii="David" w:cs="David" w:eastAsia="David" w:hAnsi="David"/>
          <w:i/>
          <w:iCs/>
          <w:sz w:val="24"/>
          <w:szCs w:val="24"/>
          <w:rtl/>
        </w:rPr>
        <w:t xml:space="preserve">געגועי לקיסינג'ר</w:t>
      </w:r>
      <w:r>
        <w:rPr>
          <w:rFonts w:ascii="David" w:cs="David" w:eastAsia="David" w:hAnsi="David"/>
          <w:sz w:val="24"/>
          <w:szCs w:val="24"/>
          <w:rtl/>
        </w:rPr>
        <w:t xml:space="preserve">. זמורה-ביתן.</w:t>
      </w:r>
    </w:p>
    <w:p>
      <w:pPr>
        <w:bidi/>
        <w:spacing w:after="160" w:line="360"/>
        <w:ind w:left="720" w:hanging="720"/>
        <w:jc w:val="right"/>
      </w:pPr>
      <w:r>
        <w:rPr>
          <w:rFonts w:ascii="David" w:cs="David" w:eastAsia="David" w:hAnsi="David"/>
          <w:sz w:val="24"/>
          <w:szCs w:val="24"/>
          <w:rtl/>
        </w:rPr>
        <w:t xml:space="preserve">קרת, א' (2024). מי כמונו יודע. בתוך </w:t>
      </w:r>
      <w:r>
        <w:rPr>
          <w:rFonts w:ascii="David" w:cs="David" w:eastAsia="David" w:hAnsi="David"/>
          <w:i/>
          <w:iCs/>
          <w:sz w:val="24"/>
          <w:szCs w:val="24"/>
          <w:rtl/>
        </w:rPr>
        <w:t xml:space="preserve">אוטוקורקט</w:t>
      </w:r>
      <w:r>
        <w:rPr>
          <w:rFonts w:ascii="David" w:cs="David" w:eastAsia="David" w:hAnsi="David"/>
          <w:sz w:val="24"/>
          <w:szCs w:val="24"/>
          <w:rtl/>
        </w:rPr>
        <w:t xml:space="preserve">. כנרת, זמורה-ביתן, דביר.</w:t>
      </w:r>
    </w:p>
    <w:p>
      <w:pPr>
        <w:spacing w:after="160" w:line="360"/>
        <w:ind w:left="720" w:hanging="720"/>
        <w:jc w:val="left"/>
      </w:pPr>
      <w:r>
        <w:rPr>
          <w:rFonts w:ascii="David" w:cs="David" w:eastAsia="David" w:hAnsi="David"/>
          <w:sz w:val="24"/>
          <w:szCs w:val="24"/>
        </w:rPr>
        <w:t xml:space="preserve">Abramovich, D. (2019). Israeli Holocaust memory in a short story by Etgar Keret. </w:t>
      </w:r>
      <w:r>
        <w:rPr>
          <w:rFonts w:ascii="David" w:cs="David" w:eastAsia="David" w:hAnsi="David"/>
          <w:i/>
          <w:iCs/>
          <w:sz w:val="24"/>
          <w:szCs w:val="24"/>
        </w:rPr>
        <w:t xml:space="preserve">Australian Journal of Jewish Studies, 32</w:t>
      </w:r>
      <w:r>
        <w:rPr>
          <w:rFonts w:ascii="David" w:cs="David" w:eastAsia="David" w:hAnsi="David"/>
          <w:sz w:val="24"/>
          <w:szCs w:val="24"/>
        </w:rPr>
        <w:t xml:space="preserve">, 21-33. http://www.aajs.org.au/wp-content/uploads/2020/03/AJJSvol32_Abramovich_21-33.pdf</w:t>
      </w:r>
    </w:p>
    <w:p>
      <w:pPr>
        <w:spacing w:after="160" w:line="360"/>
        <w:ind w:left="720" w:hanging="720"/>
        <w:jc w:val="left"/>
      </w:pPr>
      <w:r>
        <w:rPr>
          <w:rFonts w:ascii="David" w:cs="David" w:eastAsia="David" w:hAnsi="David"/>
          <w:sz w:val="24"/>
          <w:szCs w:val="24"/>
        </w:rPr>
        <w:t xml:space="preserve">Lazarus, R. S., &amp; Folkman, S. (1984). </w:t>
      </w:r>
      <w:r>
        <w:rPr>
          <w:rFonts w:ascii="David" w:cs="David" w:eastAsia="David" w:hAnsi="David"/>
          <w:i/>
          <w:iCs/>
          <w:sz w:val="24"/>
          <w:szCs w:val="24"/>
        </w:rPr>
        <w:t xml:space="preserve">Stress, appraisal, and coping</w:t>
      </w:r>
      <w:r>
        <w:rPr>
          <w:rFonts w:ascii="David" w:cs="David" w:eastAsia="David" w:hAnsi="David"/>
          <w:sz w:val="24"/>
          <w:szCs w:val="24"/>
        </w:rPr>
        <w:t xml:space="preserve">. Springer.</w:t>
      </w:r>
    </w:p>
    <w:p>
      <w:pPr>
        <w:spacing w:after="160" w:line="360"/>
        <w:ind w:left="720" w:hanging="720"/>
        <w:jc w:val="left"/>
      </w:pPr>
      <w:r>
        <w:rPr>
          <w:rFonts w:ascii="David" w:cs="David" w:eastAsia="David" w:hAnsi="David"/>
          <w:sz w:val="24"/>
          <w:szCs w:val="24"/>
        </w:rPr>
        <w:t xml:space="preserve">Mendelson-Maoz, A. (2018). Keret's "living-dead" and the sacrifice of Israeli masculinity.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 https://in.bgu.ac.il/en/heksherim/BGU%20Review%202018/Adia-Mendelson-Maoz-BGUR.pdf</w:t>
      </w:r>
    </w:p>
    <w:p>
      <w:pPr>
        <w:spacing w:after="160" w:line="360"/>
        <w:ind w:left="720" w:hanging="720"/>
        <w:jc w:val="left"/>
      </w:pPr>
      <w:r>
        <w:rPr>
          <w:rFonts w:ascii="David" w:cs="David" w:eastAsia="David" w:hAnsi="David"/>
          <w:sz w:val="24"/>
          <w:szCs w:val="24"/>
        </w:rPr>
        <w:t xml:space="preserve">Omer-Sherman, R. (2020). "To extract from it some sort of beautiful thing": The Holocaust in the families and fiction of Nava Semel and Etgar Keret. </w:t>
      </w:r>
      <w:r>
        <w:rPr>
          <w:rFonts w:ascii="David" w:cs="David" w:eastAsia="David" w:hAnsi="David"/>
          <w:i/>
          <w:iCs/>
          <w:sz w:val="24"/>
          <w:szCs w:val="24"/>
        </w:rPr>
        <w:t xml:space="preserve">Humanities, 9</w:t>
      </w:r>
      <w:r>
        <w:rPr>
          <w:rFonts w:ascii="David" w:cs="David" w:eastAsia="David" w:hAnsi="David"/>
          <w:sz w:val="24"/>
          <w:szCs w:val="24"/>
        </w:rPr>
        <w:t xml:space="preserve">(4), Article 137. https://doi.org/10.3390/h9040137</w:t>
      </w:r>
    </w:p>
    <w:p>
      <w:pPr>
        <w:spacing w:after="160" w:line="360"/>
        <w:ind w:left="720" w:hanging="720"/>
        <w:jc w:val="left"/>
      </w:pPr>
      <w:r>
        <w:rPr>
          <w:rFonts w:ascii="David" w:cs="David" w:eastAsia="David" w:hAnsi="David"/>
          <w:sz w:val="24"/>
          <w:szCs w:val="24"/>
        </w:rPr>
        <w:t xml:space="preserve">Rubin, S. S. (1999). The two-track model of bereavement: Overview, retrospect, and prospect. </w:t>
      </w:r>
      <w:r>
        <w:rPr>
          <w:rFonts w:ascii="David" w:cs="David" w:eastAsia="David" w:hAnsi="David"/>
          <w:i/>
          <w:iCs/>
          <w:sz w:val="24"/>
          <w:szCs w:val="24"/>
        </w:rPr>
        <w:t xml:space="preserve">Death Studies, 23</w:t>
      </w:r>
      <w:r>
        <w:rPr>
          <w:rFonts w:ascii="David" w:cs="David" w:eastAsia="David" w:hAnsi="David"/>
          <w:sz w:val="24"/>
          <w:szCs w:val="24"/>
        </w:rPr>
        <w:t xml:space="preserve">(8), 681-714. https://doi.org/10.1080/074811899200731</w:t>
      </w:r>
    </w:p>
    <w:p>
      <w:pPr>
        <w:spacing w:after="160" w:line="360"/>
        <w:ind w:left="720" w:hanging="720"/>
        <w:jc w:val="left"/>
      </w:pPr>
      <w:r>
        <w:rPr>
          <w:rFonts w:ascii="David" w:cs="David" w:eastAsia="David" w:hAnsi="David"/>
          <w:sz w:val="24"/>
          <w:szCs w:val="24"/>
        </w:rPr>
        <w:t xml:space="preserve">Schwartz, Y. (2018). Stam: The unbearable lightness of banality, or on the nature of Etgar Keret's humor.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 https://www.bgu.ac.il/media/zpjot1iw/yigal-schwartz-bgur.pdf</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David" w:cs="David" w:eastAsia="David" w:hAnsi="David"/>
      <w:b/>
      <w:bCs/>
      <w:color w:val="000000"/>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פרקים 2-4: ניתוח הסיפורים</dc:title>
  <dc:creator>Seminar</dc:creator>
  <cp:lastModifiedBy>Un-named</cp:lastModifiedBy>
  <cp:revision>1</cp:revision>
  <dcterms:created xsi:type="dcterms:W3CDTF">2026-09-07T08:56:09.567Z</dcterms:created>
  <dcterms:modified xsi:type="dcterms:W3CDTF">2026-09-07T08:56:09.567Z</dcterms:modified>
</cp:coreProperties>
</file>

<file path=docProps/custom.xml><?xml version="1.0" encoding="utf-8"?>
<Properties xmlns="http://schemas.openxmlformats.org/officeDocument/2006/custom-properties" xmlns:vt="http://schemas.openxmlformats.org/officeDocument/2006/docPropsVTypes"/>
</file>