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16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bidi/>
        <w:spacing w:after="160" w:line="480"/>
        <w:jc w:val="both"/>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ليعلم القارئ أنّ السؤال قديم وإن كانت صورته جديدة؛ وثالثها استعراض الآثار المترتبة على المسألة في أبواب الفقه والقانون والاجتماع والاقتصاد، ليتبيّن أنّ الجواب ليس ترفًا نظريًّا؛ ورابعها التأصيل والتحرير والموازنة بين الأقوال، وهو قلب البحث؛ وخامسها عرض الفتاوى والقرارات الرسميّة بنصوصها والتعقيب عليها، ليكون القارئ على بيّنة من كلام أهل العلم أنفسهم لا من حكايته فحسب. وختمت بنتائج مرقّمة وتوصيات عمليّة أرجو أن تجد طريقها إلى التطبيق.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ملخّص البحث</w:t>
      </w:r>
    </w:p>
    <w:p>
      <w:pPr>
        <w:bidi/>
        <w:spacing w:after="16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16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16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160" w:line="480"/>
        <w:jc w:val="both"/>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16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حدود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160" w:line="48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160" w:line="48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https://journals.ekb.eg/article_368941_0.html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160" w:line="48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https://mjle.journals.ekb.eg/article_368941_50690f4113b5efc26ad3acb040dabad4.pdf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160" w:line="48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https://search.mandumah.com/Record/1633970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160" w:line="48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https://doi.org/10.65414/najsp.v2i4.281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160" w:line="48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https://doi.org/10.61353/ma.0000141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160" w:line="48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https://www.researchgate.net/publication/393318043</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160" w:line="48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https://bcchj.uobabylon.edu.iq/index.php/bcchj/ar/article/view/1016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160" w:line="48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https://asjp.cerist.dz/en/article/198662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160" w:line="48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https://search.mandumah.com/Record/1232048</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160" w:line="48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https://journals.alqasimia.ac.ae/index.php/ssis/article/view/66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160" w:line="48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https://www.ajrsp.com/vol/issue31/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160" w:line="48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https://dspace.univ-eloued.dz/handle/123456789/15831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160" w:line="48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https://asjp.cerist.dz/en/article/91461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160" w:line="48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https://asjp.cerist.dz/en/article/26599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160" w:line="48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https://www.damascusuniversity.edu.sy/mag/law/images/stories/479-500.pdf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160" w:line="48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https://search.mandumah.com/Record/167975</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160" w:line="480"/>
        <w:jc w:val="both"/>
      </w:pPr>
      <w:r>
        <w:rPr>
          <w:rFonts w:ascii="Simplified Arabic" w:cs="Simplified Arabic" w:eastAsia="Simplified Arabic" w:hAnsi="Simplified Arabic"/>
          <w:b/>
          <w:bCs/>
          <w:sz w:val="28"/>
          <w:szCs w:val="28"/>
          <w:rtl/>
        </w:rPr>
        <w:t xml:space="preserve">17. التعريف الطبيّ للموت</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https://iifa-aifi.org/ar/journal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160" w:line="48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https://www.cambridge.org/core/services/aop-cambridge-core/content/view/F891733330C5E4ADCB8C5BB0235E271F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160" w:line="48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https://doi.org/10.3389/fneur.2024.1491263</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160" w:line="48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https://www.walshmedicalmedia.com/open-access/clinical-death-a-reversible-state-of-cardiac-arrest-119791.html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160" w:line="48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https://doi.org/10.1212/WNL.0000000000207740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160" w:line="48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https://doi.org/10.1001/jama.2020.11586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160" w:line="48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https://doi.org/10.1038/nrneurol.2017.172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160" w:line="48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https://pmc.ncbi.nlm.nih.gov/articles/PMC7595719/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160" w:line="48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https://doi.org/10.1212/WNL.0000000000006750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160" w:line="48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https://doi.org/10.2147/MB.S70369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160" w:line="48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http://jama.jamanetwork.com/article.aspx?articleid=1818922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16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16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16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16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16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16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16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120" w:before="16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16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16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16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16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160" w:line="480"/>
        <w:jc w:val="both"/>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18"/>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1"/>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160" w:line="480"/>
        <w:jc w:val="both"/>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160" w:line="480"/>
        <w:jc w:val="both"/>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3"/>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16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5"/>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16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7"/>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16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29"/>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16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0"/>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160" w:line="480"/>
        <w:jc w:val="both"/>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1"/>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16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5"/>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160" w:line="480"/>
        <w:jc w:val="both"/>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160" w:line="480"/>
        <w:jc w:val="both"/>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38"/>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39"/>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160" w:line="480"/>
        <w:jc w:val="both"/>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0"/>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16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41"/>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4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43"/>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44"/>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45"/>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46"/>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160" w:line="480"/>
        <w:jc w:val="both"/>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47"/>
      </w:r>
      <w:r>
        <w:rPr>
          <w:rStyle w:val="FootnoteReference"/>
        </w:rPr>
        <w:footnoteReference w:id="48"/>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49"/>
      </w:r>
      <w:r>
        <w:rPr>
          <w:rStyle w:val="FootnoteReference"/>
        </w:rPr>
        <w:footnoteReference w:id="50"/>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51"/>
      </w:r>
      <w:r>
        <w:rPr>
          <w:rStyle w:val="FootnoteReference"/>
        </w:rPr>
        <w:footnoteReference w:id="52"/>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5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5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5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56"/>
      </w:r>
      <w:r>
        <w:rPr>
          <w:rStyle w:val="FootnoteReference"/>
        </w:rPr>
        <w:footnoteReference w:id="57"/>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160" w:line="480"/>
        <w:jc w:val="both"/>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58"/>
      </w:r>
      <w:r>
        <w:rPr>
          <w:rStyle w:val="FootnoteReference"/>
        </w:rPr>
        <w:footnoteReference w:id="5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16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60"/>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6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62"/>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63"/>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6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160" w:line="480"/>
        <w:jc w:val="both"/>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160" w:line="480"/>
        <w:jc w:val="both"/>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160" w:line="480"/>
        <w:jc w:val="both"/>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65"/>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160" w:line="480"/>
        <w:jc w:val="both"/>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16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66"/>
      </w:r>
      <w:r>
        <w:rPr>
          <w:rStyle w:val="FootnoteReference"/>
        </w:rPr>
        <w:footnoteReference w:id="6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68"/>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16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69"/>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160" w:line="480"/>
        <w:jc w:val="both"/>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70"/>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16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71"/>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72"/>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وفيه ستة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200" w:line="36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200" w:line="36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200" w:line="36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200" w:line="36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200" w:line="36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16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7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7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16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160" w:line="480"/>
        <w:jc w:val="both"/>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7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77"/>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7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8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16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82"/>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84"/>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85"/>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86"/>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8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88"/>
      </w:r>
      <w:r>
        <w:rPr>
          <w:rStyle w:val="FootnoteReference"/>
        </w:rPr>
        <w:footnoteReference w:id="89"/>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16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160" w:line="480"/>
        <w:jc w:val="both"/>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9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160" w:line="480"/>
        <w:jc w:val="both"/>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91"/>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92"/>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200" w:line="360"/>
        <w:jc w:val="center"/>
      </w:pPr>
      <w:r>
        <w:rPr>
          <w:rFonts w:ascii="Simplified Arabic" w:cs="Simplified Arabic" w:eastAsia="Simplified Arabic" w:hAnsi="Simplified Arabic"/>
          <w:b/>
          <w:bCs/>
          <w:sz w:val="28"/>
          <w:szCs w:val="28"/>
          <w:rtl/>
        </w:rPr>
        <w:t xml:space="preserve">وفيه أربعة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16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9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16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9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160" w:line="480"/>
        <w:jc w:val="both"/>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16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16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16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160" w:line="480"/>
        <w:jc w:val="both"/>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98"/>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120" w:before="16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160" w:line="480"/>
        <w:jc w:val="both"/>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00"/>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0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16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03"/>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160" w:line="480"/>
        <w:jc w:val="both"/>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0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16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0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16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0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08"/>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09"/>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10"/>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1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120" w:before="16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160" w:line="480"/>
        <w:jc w:val="both"/>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12"/>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13"/>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14"/>
      </w:r>
      <w:r>
        <w:rPr>
          <w:rStyle w:val="FootnoteReference"/>
        </w:rPr>
        <w:footnoteReference w:id="115"/>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1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17"/>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1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19"/>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20"/>
      </w:r>
      <w:r>
        <w:rPr>
          <w:rStyle w:val="FootnoteReference"/>
        </w:rPr>
        <w:footnoteReference w:id="12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2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24"/>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2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2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27"/>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160" w:line="480"/>
        <w:jc w:val="both"/>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28"/>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29"/>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16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16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3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3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3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3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120" w:before="16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160" w:line="480"/>
        <w:jc w:val="both"/>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120" w:before="160" w:line="360"/>
        <w:jc w:val="right"/>
      </w:pPr>
      <w:r>
        <w:rPr>
          <w:rFonts w:ascii="Simplified Arabic" w:cs="Simplified Arabic" w:eastAsia="Simplified Arabic" w:hAnsi="Simplified Arabic"/>
          <w:b/>
          <w:bCs/>
          <w:sz w:val="28"/>
          <w:szCs w:val="28"/>
          <w:rtl/>
        </w:rPr>
        <w:t xml:space="preserve">الفرع الأوّل: فلسطين.</w:t>
      </w:r>
    </w:p>
    <w:p>
      <w:pPr>
        <w:bidi/>
        <w:spacing w:after="16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3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3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الأردن.</w:t>
      </w:r>
    </w:p>
    <w:p>
      <w:pPr>
        <w:bidi/>
        <w:spacing w:after="16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3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مصر.</w:t>
      </w:r>
    </w:p>
    <w:p>
      <w:pPr>
        <w:bidi/>
        <w:spacing w:after="16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3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4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16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4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إسرائيل.</w:t>
      </w:r>
    </w:p>
    <w:p>
      <w:pPr>
        <w:bidi/>
        <w:spacing w:after="16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4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16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4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السابع: فرنسا.</w:t>
      </w:r>
    </w:p>
    <w:p>
      <w:pPr>
        <w:bidi/>
        <w:spacing w:after="16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46"/>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4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50"/>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51"/>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5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53"/>
      </w:r>
      <w:r>
        <w:rPr>
          <w:rStyle w:val="FootnoteReference"/>
        </w:rPr>
        <w:footnoteReference w:id="154"/>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55"/>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5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57"/>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58"/>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5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الفتاوى والقرارات المؤيّدة (أربع فتاوى مع الردّ والتعقيب).</w:t>
      </w:r>
    </w:p>
    <w:p>
      <w:pPr>
        <w:bidi/>
        <w:spacing w:after="200" w:line="36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6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160" w:line="480"/>
        <w:jc w:val="both"/>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16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6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160" w:line="480"/>
        <w:jc w:val="both"/>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6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6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65"/>
      </w:r>
      <w:r>
        <w:rPr>
          <w:rStyle w:val="FootnoteReference"/>
        </w:rPr>
        <w:footnoteReference w:id="16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6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160" w:line="480"/>
        <w:jc w:val="both"/>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16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160" w:line="480"/>
        <w:jc w:val="both"/>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160" w:line="480"/>
        <w:jc w:val="both"/>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160" w:line="480"/>
        <w:jc w:val="both"/>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160" w:line="480"/>
        <w:jc w:val="both"/>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17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17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160" w:line="480"/>
        <w:jc w:val="both"/>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160" w:line="480"/>
        <w:jc w:val="both"/>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الخاتمة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160" w:line="480"/>
        <w:jc w:val="both"/>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16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160" w:line="480"/>
        <w:jc w:val="both"/>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النتائج</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160" w:line="480"/>
        <w:jc w:val="both"/>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التوصيات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160" w:line="480"/>
        <w:jc w:val="both"/>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160" w:line="480"/>
        <w:jc w:val="both"/>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الفهارس</w:t>
      </w:r>
    </w:p>
    <w:p>
      <w:pPr>
        <w:bidi/>
        <w:spacing w:after="200" w:line="360"/>
        <w:jc w:val="center"/>
      </w:pPr>
      <w:r>
        <w:rPr>
          <w:rFonts w:ascii="Simplified Arabic" w:cs="Simplified Arabic" w:eastAsia="Simplified Arabic" w:hAnsi="Simplified Arabic"/>
          <w:b/>
          <w:bCs/>
          <w:sz w:val="28"/>
          <w:szCs w:val="28"/>
          <w:rtl/>
        </w:rPr>
        <w:t xml:space="preserve">فهرس الآيات القرآنيّة.</w:t>
      </w:r>
    </w:p>
    <w:p>
      <w:pPr>
        <w:bidi/>
        <w:spacing w:after="200" w:line="360"/>
        <w:jc w:val="center"/>
      </w:pPr>
      <w:r>
        <w:rPr>
          <w:rFonts w:ascii="Simplified Arabic" w:cs="Simplified Arabic" w:eastAsia="Simplified Arabic" w:hAnsi="Simplified Arabic"/>
          <w:b/>
          <w:bCs/>
          <w:sz w:val="28"/>
          <w:szCs w:val="28"/>
          <w:rtl/>
        </w:rPr>
        <w:t xml:space="preserve">فهرس الأحاديث النبويّة.</w:t>
      </w:r>
    </w:p>
    <w:p>
      <w:pPr>
        <w:bidi/>
        <w:spacing w:after="200" w:line="360"/>
        <w:jc w:val="center"/>
      </w:pPr>
      <w:r>
        <w:rPr>
          <w:rFonts w:ascii="Simplified Arabic" w:cs="Simplified Arabic" w:eastAsia="Simplified Arabic" w:hAnsi="Simplified Arabic"/>
          <w:b/>
          <w:bCs/>
          <w:sz w:val="28"/>
          <w:szCs w:val="28"/>
          <w:rtl/>
        </w:rPr>
        <w:t xml:space="preserve">فهرس الأعلام.</w:t>
      </w:r>
    </w:p>
    <w:p>
      <w:pPr>
        <w:bidi/>
        <w:spacing w:after="200" w:line="360"/>
        <w:jc w:val="center"/>
      </w:pPr>
      <w:r>
        <w:rPr>
          <w:rFonts w:ascii="Simplified Arabic" w:cs="Simplified Arabic" w:eastAsia="Simplified Arabic" w:hAnsi="Simplified Arabic"/>
          <w:b/>
          <w:bCs/>
          <w:sz w:val="28"/>
          <w:szCs w:val="28"/>
          <w:rtl/>
        </w:rPr>
        <w:t xml:space="preserve">فهرس المصادر والمراجع.</w:t>
      </w:r>
    </w:p>
    <w:p>
      <w:pPr>
        <w:bidi/>
        <w:spacing w:after="200" w:line="36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16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ابن عابدين، محمد أمين (1421هـ). ردّ المحتار على الدرّ المختار (حاشية ابن عابدين). بيروت: دار الفكر، كتاب الجنائز.</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الدسوقي، محمد بن أحمد. حاشية الدسوقي على الشرح الكبير. بيروت: دار الفكر، كتاب الجنائز.</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البهوتي، منصور بن يونس (1402هـ). كشّاف القناع عن متن الإقناع. بيروت: دار الفكر، كتاب الجنائز.</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السرخسي، محمد بن أحمد. المبسوط. بيروت: دار المعرفة، كتاب الجنائز.</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الكاساني، علاء الدين أبو بكر (1982). بدائع الصنائع في ترتيب الشرائع. بيروت: دار الكتاب العربي، كتاب الجنائز.</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القرافي، أحمد بن إدريس (1994). الذخيرة. بيروت: دار الغرب، كتاب الجنائز.</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الحطّاب، محمد بن محمد (1398هـ). مواهب الجليل في شرح مختصر خليل. بيروت: دار الفكر، كتاب الجنائز.</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النووي، يحيى بن شرف (1997). المجموع شرح المهذّب. بيروت: دار الفكر، كتاب الجنائز.</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الرملي، محمد بن أحمد (1404هـ). نهاية المحتاج إلى شرح المنهاج. بيروت: دار الفكر للطباعة، كتاب الجنائز.</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المرداوي، علاء الدين علي بن سليمان. الإنصاف في معرفة الراجح من الخلاف. بيروت: دار إحياء التراث العربي، كتاب الجنائز.</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64">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65">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الجنائز، رقم الحديث 1315.</w:t>
      </w:r>
    </w:p>
  </w:footnote>
  <w:footnote w:id="66">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7">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68">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69">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0">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1">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2">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3">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4">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7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76">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7">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78">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7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80">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81">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2">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3">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5">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6">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87">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88">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89">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0">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92">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93">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4">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95">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96">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97">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98">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99">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0">
    <w:p>
      <w:pPr>
        <w:bidi/>
        <w:spacing w:line="240"/>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101">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2">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3">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04">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05">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06">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07">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08">
    <w:p>
      <w:pPr>
        <w:bidi/>
        <w:spacing w:line="240"/>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(1985). موطأ مالك (تحقيق محمد فؤاد عبد الباقي). ط1، 3ج، القاهرة: دار الأصيل، رقم الحديث 1896، ج3، ص193.</w:t>
      </w:r>
    </w:p>
  </w:footnote>
  <w:footnote w:id="109">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110">
    <w:p>
      <w:pPr>
        <w:bidi/>
        <w:spacing w:line="240"/>
      </w:pPr>
      <w:r>
        <w:rPr>
          <w:rStyle w:val="FootnoteReference"/>
        </w:rPr>
        <w:footnoteRef/>
      </w:r>
      <w:r>
        <w:rPr>
          <w:rFonts w:ascii="Simplified Arabic" w:cs="Simplified Arabic" w:eastAsia="Simplified Arabic" w:hAnsi="Simplified Arabic"/>
          <w:sz w:val="22"/>
          <w:szCs w:val="22"/>
          <w:rtl/>
        </w:rPr>
        <w:t xml:space="preserve"> مسلم بن الحجاج القشيري النيسابوري (2006). صحيح مسلم (تحقيق نظر الفاريابي). ط1، المنصورة: مكتبة الإيمان، رقم الحديث 1631.</w:t>
      </w:r>
    </w:p>
  </w:footnote>
  <w:footnote w:id="111">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2">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3">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4">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15">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116">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17">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18">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19">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120">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1">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3">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24">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25">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26">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27">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28">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2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0">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1">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2">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3">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34">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35">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36">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37">
    <w:p>
      <w:pPr>
        <w:bidi/>
        <w:spacing w:line="240"/>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138">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39">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0">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42">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43">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4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45">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46">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47">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48">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49">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0">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51">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2">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53">
    <w:p>
      <w:pPr>
        <w:bidi/>
        <w:spacing w:line="240"/>
      </w:pPr>
      <w:r>
        <w:rPr>
          <w:rStyle w:val="FootnoteReference"/>
        </w:rPr>
        <w:footnoteRef/>
      </w:r>
      <w:r>
        <w:rPr>
          <w:rFonts w:ascii="Simplified Arabic" w:cs="Simplified Arabic" w:eastAsia="Simplified Arabic" w:hAnsi="Simplified Arabic"/>
          <w:sz w:val="22"/>
          <w:szCs w:val="22"/>
          <w:rtl/>
        </w:rPr>
        <w:t xml:space="preserve"> Greer, D. M., Shemie, S. D., Lewis, A., et al. (2020). Determination of Brain Death/Death by Neurologic Criteria: The World Brain Death Project. JAMA, 324(11), 1078-1097.</w:t>
      </w:r>
    </w:p>
  </w:footnote>
  <w:footnote w:id="154">
    <w:p>
      <w:pPr>
        <w:bidi/>
        <w:spacing w:line="240"/>
      </w:pPr>
      <w:r>
        <w:rPr>
          <w:rStyle w:val="FootnoteReference"/>
        </w:rPr>
        <w:footnoteRef/>
      </w:r>
      <w:r>
        <w:rPr>
          <w:rFonts w:ascii="Simplified Arabic" w:cs="Simplified Arabic" w:eastAsia="Simplified Arabic" w:hAnsi="Simplified Arabic"/>
          <w:sz w:val="22"/>
          <w:szCs w:val="22"/>
          <w:rtl/>
        </w:rPr>
        <w:t xml:space="preserve"> Greer, D. M., Kirschen, M. P., Lewis, A., et al. (2023). Pediatric and Adult Brain Death/Death by Neurologic Criteria Consensus Guideline. Neurology, 101(24), 1112-1132.</w:t>
      </w:r>
    </w:p>
  </w:footnote>
  <w:footnote w:id="155">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57">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8">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9">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60">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61">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6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6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6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65">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6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67">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68">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69">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0">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7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72">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73">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7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7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ecaf26581e153dde661010a0b6699c66e3a5ef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2026-08-15T12:22:49.300Z</dcterms:created>
  <dcterms:modified xsi:type="dcterms:W3CDTF">2026-08-15T12:22:49.315Z</dcterms:modified>
</cp:coreProperties>
</file>

<file path=docProps/custom.xml><?xml version="1.0" encoding="utf-8"?>
<Properties xmlns="http://schemas.openxmlformats.org/officeDocument/2006/custom-properties" xmlns:vt="http://schemas.openxmlformats.org/officeDocument/2006/docPropsVTypes"/>
</file>