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40" w:line="360" w:lineRule="auto"/>
        <w:jc w:val="center"/>
      </w:pPr>
      <w:r>
        <w:rPr>
          <w:rFonts w:ascii="Times New Roman" w:cs="Traditional Arabic" w:hAnsi="Times New Roman"/>
          <w:b w:val="false"/>
          <w:sz w:val="32"/>
          <w:szCs w:val="32"/>
          <w:rtl/>
        </w:rPr>
        <w:t xml:space="preserve">الكلّيّة الأكاديميّة أونو</w:t>
      </w:r>
    </w:p>
    <w:p>
      <w:pPr>
        <w:bidi/>
        <w:spacing w:after="12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12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12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val="false"/>
          <w:sz w:val="32"/>
          <w:szCs w:val="32"/>
          <w:rtl/>
        </w:rPr>
        <w:t xml:space="preserve">إعداد الطّالب/ة: ________________</w:t>
      </w:r>
    </w:p>
    <w:p>
      <w:pPr>
        <w:bidi/>
        <w:spacing w:after="120" w:before="0" w:line="360" w:lineRule="auto"/>
        <w:jc w:val="center"/>
      </w:pPr>
      <w:r>
        <w:rPr>
          <w:rFonts w:ascii="Times New Roman" w:cs="Traditional Arabic" w:hAnsi="Times New Roman"/>
          <w:b w:val="false"/>
          <w:sz w:val="32"/>
          <w:szCs w:val="32"/>
          <w:rtl/>
        </w:rPr>
        <w:t xml:space="preserve">رقم الهويّة: ________________</w:t>
      </w:r>
    </w:p>
    <w:p>
      <w:pPr>
        <w:bidi/>
        <w:spacing w:after="120" w:before="0" w:line="360" w:lineRule="auto"/>
        <w:jc w:val="center"/>
      </w:pPr>
      <w:r>
        <w:rPr>
          <w:rFonts w:ascii="Times New Roman" w:cs="Traditional Arabic" w:hAnsi="Times New Roman"/>
          <w:b w:val="false"/>
          <w:sz w:val="32"/>
          <w:szCs w:val="32"/>
          <w:rtl/>
        </w:rPr>
        <w:t xml:space="preserve">بإرشاد: د. سمير كتّاني</w:t>
      </w:r>
    </w:p>
    <w:p>
      <w:pPr>
        <w:bidi/>
        <w:spacing w:after="12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12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سؤال مركزيّ: ما مظاهر السّخرية في الرّسالة، وبأيّ أدوات فنّيّة تحقّقت، وما الوظائف الّتي تؤدّيها في النّصّ؟ ويسير البحث في ثلاثة فصول: يقف الأوّل عند فنّ التّرسّل وأنواعه وأشكاله بوصفه القالب الّذي خرجت منه الرّسالة، ويعرض الثّاني لعصر المعرّي وحياته وآثاره وظروف تأليف الرّسالة، ويرصد الثّالث موضوعات السّخرية فيها: من ابن القارح وتوبته وتملّقه، ومن الشّعراء والرّواة واللّغويّين ومقاييسهم، ومن التّصوّرات الحسّيّة الشّائعة عن النّعيم والعذاب، كما يحلّل أدواتها الفنّيّة من مفارقة وقلب للمعنى ومحاكاة ساخرة ومبالغة وحوار. وينتهي البحث إلى أنّ السّخرية في الغفران بنية ناظمة لا زينة عابرة، وأنّها هزل يراد به الجدّ: نقد أدبيّ واجتماعيّ وفكريّ ألبسه المعرّي لبوس الضّحك.</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240" w:before="240" w:line="360" w:lineRule="auto"/>
        <w:jc w:val="center"/>
      </w:pPr>
      <w:r>
        <w:rPr>
          <w:rFonts w:ascii="Times New Roman" w:cs="Traditional Arabic" w:hAnsi="Times New Roman"/>
          <w:b/>
          <w:bCs/>
          <w:sz w:val="40"/>
          <w:szCs w:val="40"/>
          <w:rtl/>
        </w:rPr>
        <w:t xml:space="preserve">المقدّمة</w:t>
      </w:r>
    </w:p>
    <w:p>
      <w:pPr>
        <w:bidi/>
        <w:spacing w:after="12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بعث بها إليه الأديب الحلبيّ ابن القارح، وهي في حقيقتها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بل تكاد تكون العمود الفقريّ الّذي ينتظم الرّحلة كلّها: في اختيار الشّخوص، وفي المواقف الّتي توضع فيها، وفي المفارقة الدّائمة بين جلال الآخرة وصغائر المسائل الّتي ينشغل بها أهلها.</w:t>
      </w:r>
    </w:p>
    <w:p>
      <w:pPr>
        <w:bidi/>
        <w:spacing w:after="12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وهذه هي الفجوة الّتي يحاول البحث الحاليّ الإسهام في سدّها.</w:t>
      </w:r>
    </w:p>
    <w:p>
      <w:pPr>
        <w:bidi/>
        <w:spacing w:after="12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كيف وظّف المعرّي قالب التّرسّل في بناء نصّ ساخر؟ ب. ممّن يسخر المعرّي وممّ يسخر؟ ج. ما موقف الكاتب نفسه ممّا يسخر منه؟</w:t>
      </w:r>
    </w:p>
    <w:p>
      <w:pPr>
        <w:bidi/>
        <w:spacing w:after="12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12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وقد بني البحث على ثلاثة فصول تسبقها هذه المقدّمة وتليها خاتمة تجمل النّتائج.</w:t>
      </w:r>
    </w:p>
    <w:p>
      <w:pPr>
        <w:bidi/>
        <w:spacing w:after="12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وسيشار إلى ذلك كلّه في مواضعه من الحواشي.</w:t>
      </w:r>
    </w:p>
    <w:p>
      <w:pPr>
        <w:bidi/>
        <w:spacing w:after="120" w:before="0" w:line="360" w:lineRule="auto"/>
        <w:jc w:val="both"/>
      </w:pPr>
      <w:r>
        <w:rPr>
          <w:rFonts w:ascii="Times New Roman" w:cs="Traditional Arabic" w:hAnsi="Times New Roman"/>
          <w:b w:val="false"/>
          <w:sz w:val="32"/>
          <w:szCs w:val="32"/>
          <w:rtl/>
        </w:rPr>
        <w:t xml:space="preserve">أمّا حدود البحث فيقف عند قسم الرّحلة بالدّرجة الأولى، لأنّه موضع القصّ والسّخرية، ولا يتوسّع في قسم الرّدّ إلّا بمقدار ما يخدم السّؤال المركزيّ؛ ولا يدّعي الإحاطة بكلّ مشاهد الرّسالة، بل يجتزئ منها نماذج دالّة.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120" w:before="240" w:line="360" w:lineRule="auto"/>
        <w:jc w:val="right"/>
      </w:pPr>
      <w:r>
        <w:rPr>
          <w:rFonts w:ascii="Times New Roman" w:cs="Traditional Arabic" w:hAnsi="Times New Roman"/>
          <w:b/>
          <w:bCs/>
          <w:sz w:val="36"/>
          <w:szCs w:val="36"/>
          <w:rtl/>
        </w:rPr>
        <w:t xml:space="preserve">1.1 مفهوم التّرسّل لغةً واصطلاحًا</w:t>
      </w:r>
    </w:p>
    <w:p>
      <w:pPr>
        <w:bidi/>
        <w:spacing w:after="12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120" w:before="0" w:line="360" w:lineRule="auto"/>
        <w:jc w:val="both"/>
      </w:pPr>
      <w:r>
        <w:rPr>
          <w:rFonts w:ascii="Times New Roman" w:cs="Traditional Arabic" w:hAnsi="Times New Roman"/>
          <w:b w:val="false"/>
          <w:sz w:val="32"/>
          <w:szCs w:val="32"/>
          <w:rtl/>
        </w:rPr>
        <w:t xml:space="preserve">وينبغي أن يفهم هذا الفنّ داخل الإطار الواسع الّذي كان يعنيه مصطلح "الأدب" في الموروث العربيّ الكلاسيكيّ؛ فقد بيّن سمير كتّاني أنّ اللفظة كانت تشمل شتّى صنوف المعارف والفنون والممارسات الفكريّة في الحضارة العربيّة الإسلاميّة، وأنّها كانت مستخدمة لدى المهتمّين بالوصف النّظريّ للحضارة الإنسانيّة كابن المقفّع ومسكويه، ولدى المهتمّين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وفي هذا الإطار الرّحب كانت الرّسالة الأدبيّة وعاءً معرفيًّا يتّسع للّغة والنّقد والفكر، لا مجرّد وسيلة اتّصال عمليّة.</w:t>
      </w:r>
    </w:p>
    <w:p>
      <w:pPr>
        <w:bidi/>
        <w:spacing w:after="120" w:before="0" w:line="360" w:lineRule="auto"/>
        <w:jc w:val="both"/>
      </w:pPr>
      <w:r>
        <w:rPr>
          <w:rFonts w:ascii="Times New Roman" w:cs="Traditional Arabic" w:hAnsi="Times New Roman"/>
          <w:b w:val="false"/>
          <w:sz w:val="32"/>
          <w:szCs w:val="32"/>
          <w:rtl/>
        </w:rPr>
        <w:t xml:space="preserve">أمّا في الاصطلاح فالتّرسّل قسيم الخطابة في النّثر الفنّيّ: كلاهما مخاطبة للغير بقصد الإفهام والتّأثير، غير أنّ الخطابة مشافهة والتّرسّل كتابة. وقد عدّه الدّارسون المحدثون أحد أعمدة النّثر الفنّيّ العربيّ، ورصد زكي مبارك وشوقي ضيف تطوّره من البساطة المرسلة إلى الصّنعة المسجوعة</w:t>
      </w:r>
      <w:r>
        <w:rPr>
          <w:rStyle w:val="FootnoteReference"/>
        </w:rPr>
        <w:footnoteReference w:id="3"/>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120" w:before="0" w:line="360" w:lineRule="auto"/>
        <w:jc w:val="both"/>
      </w:pPr>
      <w:r>
        <w:rPr>
          <w:rFonts w:ascii="Times New Roman" w:cs="Traditional Arabic" w:hAnsi="Times New Roman"/>
          <w:b w:val="false"/>
          <w:sz w:val="32"/>
          <w:szCs w:val="32"/>
          <w:rtl/>
        </w:rPr>
        <w:t xml:space="preserve">عرفت العربيّة الرّسائل منذ صدر الإسلام في مكاتبات النّبيّ إلى الملوك، ثمّ في عهود الخلفاء الرّاشدين، وكانت رسائل قصيرة عمليّة تقصد إلى الإبلاغ. فلمّا اتّسعت الدّولة في العصر الأمويّ نشأ ديوان الرّسائل، وظهر الكتّاب المحترفون، وعلى رأسهم عبد الحميد الكاتب الّذي وسّع الرّسالة ومدّ أطنابها وأدخل فيها المقدّمات والدّعاء، حتّى قيل في المشهور: فُتحت الرّسائل بعبد الحميد وخُتمت بابن العميد</w:t>
      </w:r>
      <w:r>
        <w:rPr>
          <w:rStyle w:val="FootnoteReference"/>
        </w:rPr>
        <w:footnoteReference w:id="4"/>
      </w:r>
      <w:r>
        <w:rPr>
          <w:rFonts w:ascii="Times New Roman" w:cs="Traditional Arabic" w:hAnsi="Times New Roman"/>
          <w:b w:val="false"/>
          <w:sz w:val="32"/>
          <w:szCs w:val="32"/>
          <w:rtl/>
        </w:rPr>
        <w:t xml:space="preserve">. 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وصارت الكتابة في الدّولة العبّاسيّة صناعة لها رجالها وآدابها؛ فديوان الرّسائل من أخطر دواوين الدّولة، وكاتبه من أقرب النّاس إلى الخليفة أو الوزير. ودلالة هذا لموضوعنا أنّ الرّسالة كانت في صميم الحياة العامّة، ولها من الرّسوم المستقرّة ما يجعل الخروج عليها ملحوظًا؛ والسّخرية تحتاج إلى قاعدة مستقرّة تنحرف عنها حتّى تُرى.</w:t>
      </w:r>
    </w:p>
    <w:p>
      <w:pPr>
        <w:bidi/>
        <w:spacing w:after="12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6"/>
      </w:r>
      <w:r>
        <w:rPr>
          <w:rFonts w:ascii="Times New Roman" w:cs="Traditional Arabic" w:hAnsi="Times New Roman"/>
          <w:b w:val="false"/>
          <w:sz w:val="32"/>
          <w:szCs w:val="32"/>
          <w:rtl/>
        </w:rPr>
        <w:t xml:space="preserve">. وفي هذه البيئة المشبعة بالصّنعة تعلّم المعرّي وكتب.</w:t>
      </w:r>
    </w:p>
    <w:p>
      <w:pPr>
        <w:pStyle w:val="Heading2"/>
        <w:bidi/>
        <w:spacing w:after="120" w:before="240" w:line="360" w:lineRule="auto"/>
        <w:jc w:val="right"/>
      </w:pPr>
      <w:r>
        <w:rPr>
          <w:rFonts w:ascii="Times New Roman" w:cs="Traditional Arabic" w:hAnsi="Times New Roman"/>
          <w:b/>
          <w:bCs/>
          <w:sz w:val="36"/>
          <w:szCs w:val="36"/>
          <w:rtl/>
        </w:rPr>
        <w:t xml:space="preserve">1.3 أنواع الرّسائل وأشكالها</w:t>
      </w:r>
    </w:p>
    <w:p>
      <w:pPr>
        <w:bidi/>
        <w:spacing w:after="12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وثانيها الرّسائل الإخوانيّة الّتي تجري بين الأدباء والأصدقاء في التّهنئة والتّعزية والشّكر والعتاب والشّوق والاستزارة، وفيها تظهر عواطف الكاتب وذوقه. 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120" w:before="0" w:line="360" w:lineRule="auto"/>
        <w:jc w:val="both"/>
      </w:pPr>
      <w:r>
        <w:rPr>
          <w:rFonts w:ascii="Times New Roman" w:cs="Traditional Arabic" w:hAnsi="Times New Roman"/>
          <w:b w:val="false"/>
          <w:sz w:val="32"/>
          <w:szCs w:val="32"/>
          <w:rtl/>
        </w:rPr>
        <w:t xml:space="preserve">ولكلّ نوع من هذه الأنواع أعلامه: فللدّيوانيّات عبد الحميد وابن العميد، وللإخوانيّات الصّاحب بن عبّاد والخوارزميّ وبديع الزّمان في إخوانيّاتهم المتبادلة، وللرّسائل الأدبيّة الجاحظ قبلهم جميعًا، وله فيها العدد الوافر في موضوعات تمتدّ من الجدّ الخالص إلى الهزل الخالص. ورسالة الغفران بهذا التّقسيم رسالة أدبيّة في المقام الأوّل، لكنّها تفتتح كما تفتتح الإخوانيّات بالثّناء على المرسَل إليه والدّعاء له، وهذا المزج بين رسوم النّوعين جزء من لعبتها كما سيتبيّن.</w:t>
      </w:r>
    </w:p>
    <w:p>
      <w:pPr>
        <w:bidi/>
        <w:spacing w:after="12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وهذا التّداخل بالذّات هو ما استثمره المعرّي في رسالة الغفران كما سيأتي.</w:t>
      </w:r>
    </w:p>
    <w:p>
      <w:pPr>
        <w:bidi/>
        <w:spacing w:after="120" w:before="0" w:line="360" w:lineRule="auto"/>
        <w:jc w:val="both"/>
      </w:pPr>
      <w:r>
        <w:rPr>
          <w:rFonts w:ascii="Times New Roman" w:cs="Traditional Arabic" w:hAnsi="Times New Roman"/>
          <w:b w:val="false"/>
          <w:sz w:val="32"/>
          <w:szCs w:val="32"/>
          <w:rtl/>
        </w:rPr>
        <w:t xml:space="preserve">وإلى جانب هذا التّقسيم الموضوعيّ تعدّدت أشكال الرّسالة من حيث الحجم والبناء: فمنها التّوقيعات القصيرة الّتي يذيّل بها الخليفة أو الوزير الرّقاع بجملة موجزة بليغة، ومنها الرّسائل المتوسّطة الّتي تقضي حاجة بعينها، ومنها الرّسائل المطوّلة الّتي تبلغ حجم الكتاب. وعلى هذا الطّرف الأخير تقع رسالة الغفران؛ فهي في المطبوع مئات الصّفحات، ممّا يدلّ على أنّ صيغة الرّسالة صارت عند أصحابها إطارًا تنظيميًّا أكثر منها قيدًا على الحجم.</w:t>
      </w:r>
    </w:p>
    <w:p>
      <w:pPr>
        <w:pStyle w:val="Heading2"/>
        <w:bidi/>
        <w:spacing w:after="120" w:before="240" w:line="360" w:lineRule="auto"/>
        <w:jc w:val="right"/>
      </w:pPr>
      <w:r>
        <w:rPr>
          <w:rFonts w:ascii="Times New Roman" w:cs="Traditional Arabic" w:hAnsi="Times New Roman"/>
          <w:b/>
          <w:bCs/>
          <w:sz w:val="36"/>
          <w:szCs w:val="36"/>
          <w:rtl/>
        </w:rPr>
        <w:t xml:space="preserve">1.4 خصائص أسلوب التّرسّل في القرنين الرّابع والخامس</w:t>
      </w:r>
    </w:p>
    <w:p>
      <w:pPr>
        <w:bidi/>
        <w:spacing w:after="120" w:before="0" w:line="360" w:lineRule="auto"/>
        <w:jc w:val="both"/>
      </w:pPr>
      <w:r>
        <w:rPr>
          <w:rFonts w:ascii="Times New Roman" w:cs="Traditional Arabic" w:hAnsi="Times New Roman"/>
          <w:b w:val="false"/>
          <w:sz w:val="32"/>
          <w:szCs w:val="32"/>
          <w:rtl/>
        </w:rPr>
        <w:t xml:space="preserve">غلبت على كتابة هذه الحقبة جملة خصائص أسلوبيّة يحسن الوقوف عندها لأنّ الغفران كتبت بها جميعًا: أوّلها السّجع، وقد صار في القرن الرّابع عمود الكتابة الفنّيّة حتّى ما تكاد تخلو منه جملة، وثانيها الازدواج والموازنة بين الجمل، وثالثها الإكثار من الاقتباس من القرآن الكريم والشّعر والمثل، ورابعها استعراض الغريب من اللّغة</w:t>
      </w:r>
      <w:r>
        <w:rPr>
          <w:rStyle w:val="FootnoteReference"/>
        </w:rPr>
        <w:footnoteReference w:id="7"/>
      </w:r>
      <w:r>
        <w:rPr>
          <w:rFonts w:ascii="Times New Roman" w:cs="Traditional Arabic" w:hAnsi="Times New Roman"/>
          <w:b w:val="false"/>
          <w:sz w:val="32"/>
          <w:szCs w:val="32"/>
          <w:rtl/>
        </w:rPr>
        <w:t xml:space="preserve">. وقد أخذ المعرّي هذه الخصائص كلّها وزاد عليها من سعة محفوظه اللّغويّ ما جعل شرّاح الغفران يقفون عند غريبه إلى اليوم. وممّا يلحظه الباحث أنّ هذه الصّنعة نفسها تدخل عنده في لعبة السّخرية: فالسّجع المتكلّف والغريب المتقعّر يساقان في مواضع الهزل، فيصير التّأنّق الأسلوبيّ ذاته موضع ابتسام، وكأنّه يسخر من صنعة عصره وهو يجاريها؛ وهي ملاحظة سيبني عليها الفصل الثّالث.</w:t>
      </w:r>
    </w:p>
    <w:p>
      <w:pPr>
        <w:pStyle w:val="Heading2"/>
        <w:bidi/>
        <w:spacing w:after="120" w:before="240" w:line="360" w:lineRule="auto"/>
        <w:jc w:val="right"/>
      </w:pPr>
      <w:r>
        <w:rPr>
          <w:rFonts w:ascii="Times New Roman" w:cs="Traditional Arabic" w:hAnsi="Times New Roman"/>
          <w:b/>
          <w:bCs/>
          <w:sz w:val="36"/>
          <w:szCs w:val="36"/>
          <w:rtl/>
        </w:rPr>
        <w:t xml:space="preserve">1.5 الرّسالة الأدبيّة قالبًا للسّرد والخيال</w:t>
      </w:r>
    </w:p>
    <w:p>
      <w:pPr>
        <w:bidi/>
        <w:spacing w:after="12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8"/>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12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9"/>
      </w:r>
      <w:r>
        <w:rPr>
          <w:rFonts w:ascii="Times New Roman" w:cs="Traditional Arabic" w:hAnsi="Times New Roman"/>
          <w:b w:val="false"/>
          <w:sz w:val="32"/>
          <w:szCs w:val="32"/>
          <w:rtl/>
        </w:rPr>
        <w:t xml:space="preserve">. 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120" w:before="240" w:line="360" w:lineRule="auto"/>
        <w:jc w:val="right"/>
      </w:pPr>
      <w:r>
        <w:rPr>
          <w:rFonts w:ascii="Times New Roman" w:cs="Traditional Arabic" w:hAnsi="Times New Roman"/>
          <w:b/>
          <w:bCs/>
          <w:sz w:val="36"/>
          <w:szCs w:val="36"/>
          <w:rtl/>
        </w:rPr>
        <w:t xml:space="preserve">1.6 التّرسّل عند المعرّي قبل الغفران</w:t>
      </w:r>
    </w:p>
    <w:p>
      <w:pPr>
        <w:bidi/>
        <w:spacing w:after="12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0"/>
      </w:r>
      <w:r>
        <w:rPr>
          <w:rFonts w:ascii="Times New Roman" w:cs="Traditional Arabic" w:hAnsi="Times New Roman"/>
          <w:b w:val="false"/>
          <w:sz w:val="32"/>
          <w:szCs w:val="32"/>
          <w:rtl/>
        </w:rPr>
        <w:t xml:space="preserve">. 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12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لا لمعة عابرة. وقد اجتمع فيها ما تفرّق في سابقاتها: الخيال الأخرويّ من رسالة الملائكة، والتّعريض السّياسيّ والاجتماعيّ من الصّاهل والشّاحج، وأدب المجاملة الإخوانيّة من رسائله، ثمّ زادت عليها جميعًا بالبناء القصصيّ المحكم الّذي جعل بعض المحدثين يقرؤونها قراءة سرديّة بوصفها عملًا روائيًّا مبكّرًا؛ وفي طليعة هؤلاء حسين الواد الّذي درس بنيتها القصصيّة دراسة كاملة</w:t>
      </w:r>
      <w:r>
        <w:rPr>
          <w:rStyle w:val="FootnoteReference"/>
        </w:rPr>
        <w:footnoteReference w:id="11"/>
      </w:r>
      <w:r>
        <w:rPr>
          <w:rFonts w:ascii="Times New Roman" w:cs="Traditional Arabic" w:hAnsi="Times New Roman"/>
          <w:b w:val="false"/>
          <w:sz w:val="32"/>
          <w:szCs w:val="32"/>
          <w:rtl/>
        </w:rPr>
        <w:t xml:space="preserve">. 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120" w:before="240" w:line="360" w:lineRule="auto"/>
        <w:jc w:val="right"/>
      </w:pPr>
      <w:r>
        <w:rPr>
          <w:rFonts w:ascii="Times New Roman" w:cs="Traditional Arabic" w:hAnsi="Times New Roman"/>
          <w:b/>
          <w:bCs/>
          <w:sz w:val="36"/>
          <w:szCs w:val="36"/>
          <w:rtl/>
        </w:rPr>
        <w:t xml:space="preserve">2.1 عصره وبيئته</w:t>
      </w:r>
    </w:p>
    <w:p>
      <w:pPr>
        <w:bidi/>
        <w:spacing w:after="12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وهو عصر كانت فيه الخلافة العبّاسيّة قد فقدت سلطانها الفعليّ. وقد وصف طه حسين السّياسة العبّاسيّة بحالتين: أولاهما قبل أبي العلاء وكان شكل السّلطة فيها فعليًّا للخلفاء، والثّانية في عصره وما بعده وصارت السّلطة فيها اسميّة، وقسّم العصر تقسيمًا آخر إلى عصر الخلفاء وعصر الملوك</w:t>
      </w:r>
      <w:r>
        <w:rPr>
          <w:rStyle w:val="FootnoteReference"/>
        </w:rPr>
        <w:footnoteReference w:id="12"/>
      </w:r>
      <w:r>
        <w:rPr>
          <w:rFonts w:ascii="Times New Roman" w:cs="Traditional Arabic" w:hAnsi="Times New Roman"/>
          <w:b w:val="false"/>
          <w:sz w:val="32"/>
          <w:szCs w:val="32"/>
          <w:rtl/>
        </w:rPr>
        <w:t xml:space="preserve">. 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12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3"/>
      </w:r>
      <w:r>
        <w:rPr>
          <w:rFonts w:ascii="Times New Roman" w:cs="Traditional Arabic" w:hAnsi="Times New Roman"/>
          <w:b w:val="false"/>
          <w:sz w:val="32"/>
          <w:szCs w:val="32"/>
          <w:rtl/>
        </w:rPr>
        <w:t xml:space="preserve">. 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12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والمذاهب المتنازعة، وما رافقها من توظيف الدّين والعلم في طلب المنافع، وضعت أمام عيني المعرّي معرضًا يوميًّا من التّناقض بين القول والعمل. ومن يقرأ الغفران على خلفيّة هذا المشهد يدرك أنّ سخريتها ليست ترفًا فنّيًّا، بل أقرب إلى ردّ فعل عقل دقيق الملاحظة على عصر كثير الادّعاء.</w:t>
      </w:r>
    </w:p>
    <w:p>
      <w:pPr>
        <w:pStyle w:val="Heading2"/>
        <w:bidi/>
        <w:spacing w:after="120" w:before="24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12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وهذا هو السّبب في تلقيبه بلقب "رهين المحبسين": محبس العمى ومحبس المنزل</w:t>
      </w:r>
      <w:r>
        <w:rPr>
          <w:rStyle w:val="FootnoteReference"/>
        </w:rPr>
        <w:footnoteReference w:id="15"/>
      </w:r>
      <w:r>
        <w:rPr>
          <w:rFonts w:ascii="Times New Roman" w:cs="Traditional Arabic" w:hAnsi="Times New Roman"/>
          <w:b w:val="false"/>
          <w:sz w:val="32"/>
          <w:szCs w:val="32"/>
          <w:rtl/>
        </w:rPr>
        <w:t xml:space="preserve">. 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6"/>
      </w:r>
      <w:r>
        <w:rPr>
          <w:rFonts w:ascii="Times New Roman" w:cs="Traditional Arabic" w:hAnsi="Times New Roman"/>
          <w:b w:val="false"/>
          <w:sz w:val="32"/>
          <w:szCs w:val="32"/>
          <w:rtl/>
        </w:rPr>
        <w:t xml:space="preserve">. وقد جعل طه حسين من هذه السّجون الثّلاثة مدخلًا لكتابه عن فلسفة الرّجل</w:t>
      </w:r>
      <w:r>
        <w:rPr>
          <w:rStyle w:val="FootnoteReference"/>
        </w:rPr>
        <w:footnoteReference w:id="17"/>
      </w:r>
      <w:r>
        <w:rPr>
          <w:rFonts w:ascii="Times New Roman" w:cs="Traditional Arabic" w:hAnsi="Times New Roman"/>
          <w:b w:val="false"/>
          <w:sz w:val="32"/>
          <w:szCs w:val="32"/>
          <w:rtl/>
        </w:rPr>
        <w:t xml:space="preserve">. 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18"/>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وقد وقف على قبره جمع غفير من أدباء عصره وشعرائه ورثَوه بثمانين مرثاة</w:t>
      </w:r>
      <w:r>
        <w:rPr>
          <w:rStyle w:val="FootnoteReference"/>
        </w:rPr>
        <w:footnoteReference w:id="1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وتروي كتب الأخبار عن زهده ما يكمل الصّورة: فقد اقتصر في مطعمه على النّبات ورفض التّكسّب بشعره وعاش عيشة الكفاف، ولم يتزوّج ولم يعقب، إمعانًا في مذهبه الّذي لخّصته وصيّته السّابقة. وليس هذا الزّهد تفصيلًا هامشيًّا في بحثنا؛ فالسّاخر الّذي لا يطلب من النّاس جاهًا ولا مالًا يملك من حرّيّة القول ما لا يملكه المتكسّبون، وسخرية الغفران من المدّاحين والمتوسّلين تصدر عن رجل نزّه نفسه عن الحالتين معًا.</w:t>
      </w:r>
    </w:p>
    <w:p>
      <w:pPr>
        <w:bidi/>
        <w:spacing w:after="120" w:before="0" w:line="360" w:lineRule="auto"/>
        <w:jc w:val="both"/>
      </w:pPr>
      <w:r>
        <w:rPr>
          <w:rFonts w:ascii="Times New Roman" w:cs="Traditional Arabic" w:hAnsi="Times New Roman"/>
          <w:b w:val="false"/>
          <w:sz w:val="32"/>
          <w:szCs w:val="32"/>
          <w:rtl/>
        </w:rPr>
        <w:t xml:space="preserve">وكان أبو العلاء ذكيًّا نابغًا متوقّد الذّهن قويّ الذّاكرة عجيب الحفظ والفهم؛ يروي شلتوت عن تلميذه التّبريزيّ ما يؤكّد ذلك: إذ سمع المعرّي كلامًا بالآذريّة في مجلسه فأعاد ما قيل من غير أن يفهم منه شيئًا، لأنّه حفظه بحروفه</w:t>
      </w:r>
      <w:r>
        <w:rPr>
          <w:rStyle w:val="FootnoteReference"/>
        </w:rPr>
        <w:footnoteReference w:id="20"/>
      </w:r>
      <w:r>
        <w:rPr>
          <w:rFonts w:ascii="Times New Roman" w:cs="Traditional Arabic" w:hAnsi="Times New Roman"/>
          <w:b w:val="false"/>
          <w:sz w:val="32"/>
          <w:szCs w:val="32"/>
          <w:rtl/>
        </w:rPr>
        <w:t xml:space="preserve">. وهو عند ياقوت الحمويّ ذو فضل في مواقفه وعطائه، وصاحب صيت وشهرة بالعلم لغةً ونحوًا وفلسفةً، وذو مهارة بالشّعر وجزالة في الكلام نثرًا وشعرًا</w:t>
      </w:r>
      <w:r>
        <w:rPr>
          <w:rStyle w:val="FootnoteReference"/>
        </w:rPr>
        <w:footnoteReference w:id="21"/>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2.3 ثقافته ومذهبه الفكريّ</w:t>
      </w:r>
    </w:p>
    <w:p>
      <w:pPr>
        <w:bidi/>
        <w:spacing w:after="12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تضاف إليها فلسفة خاصّة جعلت بعض الدّارسين يعدّه مؤسّسًا للشّعر الفلسفيّ في الأدب العربيّ؛ فالفلسفة في شعره، كما تقول توحيدي فر، فلسفة يوميّة: تفلسف وتحسّس في الشّؤون اليوميّة المتكرّرة في حياة البشر</w:t>
      </w:r>
      <w:r>
        <w:rPr>
          <w:rStyle w:val="FootnoteReference"/>
        </w:rPr>
        <w:footnoteReference w:id="22"/>
      </w:r>
      <w:r>
        <w:rPr>
          <w:rFonts w:ascii="Times New Roman" w:cs="Traditional Arabic" w:hAnsi="Times New Roman"/>
          <w:b w:val="false"/>
          <w:sz w:val="32"/>
          <w:szCs w:val="32"/>
          <w:rtl/>
        </w:rPr>
        <w:t xml:space="preserve">. 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3"/>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اشتُهر بآرائه الّتي أثارت الجدل في وقته، وهاجم تصوّرات معاصريه للدّين والاعتقاد، حتّى شجّع ذلك كثيرين على اتّهامه بالزّندقة. لكنّ بنت الشّاطئ، وهي من أفضل من حقّق نصّ الغفران، تنفي عن فيلسوف المعرّة تلك التّهم، متّبعة في ذلك خطوات أستاذها طه حسين الّذي وضع غير كتاب عن المعرّي وكان إلى حدّ ما يرى نفسه شبيهًا به</w:t>
      </w:r>
      <w:r>
        <w:rPr>
          <w:rStyle w:val="FootnoteReference"/>
        </w:rPr>
        <w:footnoteReference w:id="24"/>
      </w:r>
      <w:r>
        <w:rPr>
          <w:rFonts w:ascii="Times New Roman" w:cs="Traditional Arabic" w:hAnsi="Times New Roman"/>
          <w:b w:val="false"/>
          <w:sz w:val="32"/>
          <w:szCs w:val="32"/>
          <w:rtl/>
        </w:rPr>
        <w:t xml:space="preserve">. 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120" w:before="240" w:line="360" w:lineRule="auto"/>
        <w:jc w:val="right"/>
      </w:pPr>
      <w:r>
        <w:rPr>
          <w:rFonts w:ascii="Times New Roman" w:cs="Traditional Arabic" w:hAnsi="Times New Roman"/>
          <w:b/>
          <w:bCs/>
          <w:sz w:val="36"/>
          <w:szCs w:val="36"/>
          <w:rtl/>
        </w:rPr>
        <w:t xml:space="preserve">2.4 آثاره</w:t>
      </w:r>
    </w:p>
    <w:p>
      <w:pPr>
        <w:bidi/>
        <w:spacing w:after="120" w:before="0" w:line="360" w:lineRule="auto"/>
        <w:jc w:val="both"/>
      </w:pPr>
      <w:r>
        <w:rPr>
          <w:rFonts w:ascii="Times New Roman" w:cs="Traditional Arabic" w:hAnsi="Times New Roman"/>
          <w:b w:val="false"/>
          <w:sz w:val="32"/>
          <w:szCs w:val="32"/>
          <w:rtl/>
        </w:rPr>
        <w:t xml:space="preserve">خلّف المعرّي تراثًا ضخمًا شعرًا ونثرًا. أمّا شعره، وهو ديوان حكمته وفلسفته، فثلاثة أقسام: اللزوميّات، وسقط الزّند، وضوء السّقط</w:t>
      </w:r>
      <w:r>
        <w:rPr>
          <w:rStyle w:val="FootnoteReference"/>
        </w:rPr>
        <w:footnoteReference w:id="25"/>
      </w:r>
      <w:r>
        <w:rPr>
          <w:rFonts w:ascii="Times New Roman" w:cs="Traditional Arabic" w:hAnsi="Times New Roman"/>
          <w:b w:val="false"/>
          <w:sz w:val="32"/>
          <w:szCs w:val="32"/>
          <w:rtl/>
        </w:rPr>
        <w:t xml:space="preserve">. وفي اللزوميّات، وهي أنضج شعره، ألزم نفسه في القافية ما لا يلزم، وضمّنها آراءه في الحياة والموت والنّاس والمعتقدات. 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12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7"/>
      </w:r>
      <w:r>
        <w:rPr>
          <w:rFonts w:ascii="Times New Roman" w:cs="Traditional Arabic" w:hAnsi="Times New Roman"/>
          <w:b w:val="false"/>
          <w:sz w:val="32"/>
          <w:szCs w:val="32"/>
          <w:rtl/>
        </w:rPr>
        <w:t xml:space="preserve">. 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8"/>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12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29"/>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وقد بدأ المعرّي ردّه بمقدّمة وصف فيها رسالة ابن القارح وأثرها الطّيّب في نفسه، فهي كلمة طيّبة أصلها ثابت وفرعها في السّماء، ثمّ استرسل بخياله الجامح إلى بلوغ ابن القارح للسّماء العليا بفضل كلماته الطّيّبة الّتي رفعته إلى الجنّة</w:t>
      </w:r>
      <w:r>
        <w:rPr>
          <w:rStyle w:val="FootnoteReference"/>
        </w:rPr>
        <w:footnoteReference w:id="30"/>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وقد جرت العادة عند الدّارسين على العناية بالقسم الأوّل خاصّة، لأنّه موضع الإبداع القصصيّ والسّخريّ.</w:t>
      </w:r>
    </w:p>
    <w:p>
      <w:pPr>
        <w:bidi/>
        <w:spacing w:after="12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والتّاريخ والحياة، ويتأمّل أيضًا ضروب الإبداع الإنسانيّ، والواضح من النّصّ أنّ أبا العلاء إنّما شاء فيه، عبر وصفه وتحليله للشّخصيّات الّتي يلتقيها ابن القارح خلال رحلته من شعراء وقادة وأدباء وفلاسفة ومفكّرين ومتكلّمين، أن يعبّر أوّل ما يعبّر عن ذلك التّمزّق الّذي كان يعيشه هو، بين إيمانه وشكّه، ويأسه وأمله، متسائلًا عن جدوى كلّ ما عاش فيه وله، وعن مكان الإنسان في هذا الكون</w:t>
      </w:r>
      <w:r>
        <w:rPr>
          <w:rStyle w:val="FootnoteReference"/>
        </w:rPr>
        <w:footnoteReference w:id="31"/>
      </w:r>
      <w:r>
        <w:rPr>
          <w:rFonts w:ascii="Times New Roman" w:cs="Traditional Arabic" w:hAnsi="Times New Roman"/>
          <w:b w:val="false"/>
          <w:sz w:val="32"/>
          <w:szCs w:val="32"/>
          <w:rtl/>
        </w:rPr>
        <w:t xml:space="preserve">. فمن ناحية تكشف الرّسالة عن مؤمن يعيش إيمانه بكلّ جوارحه، وعن شكّاك لا يرى فائدة في الصّورة الّتي يصنعها المتكلّمون للدّين</w:t>
      </w:r>
      <w:r>
        <w:rPr>
          <w:rStyle w:val="FootnoteReference"/>
        </w:rPr>
        <w:footnoteReference w:id="32"/>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3"/>
      </w:r>
      <w:r>
        <w:rPr>
          <w:rFonts w:ascii="Times New Roman" w:cs="Traditional Arabic" w:hAnsi="Times New Roman"/>
          <w:b w:val="false"/>
          <w:sz w:val="32"/>
          <w:szCs w:val="32"/>
          <w:rtl/>
        </w:rPr>
        <w:t xml:space="preserve">. وذاع صيت الرّسالة خارج العربيّة أيضًا: فقد عرّف المستشرق الإنجليزيّ نيكلسون القارئ الأوروبيّ بأبي العلاء وأدبه</w:t>
      </w:r>
      <w:r>
        <w:rPr>
          <w:rStyle w:val="FootnoteReference"/>
        </w:rPr>
        <w:footnoteReference w:id="34"/>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5"/>
      </w:r>
      <w:r>
        <w:rPr>
          <w:rFonts w:ascii="Times New Roman" w:cs="Traditional Arabic" w:hAnsi="Times New Roman"/>
          <w:b w:val="false"/>
          <w:sz w:val="32"/>
          <w:szCs w:val="32"/>
          <w:rtl/>
        </w:rPr>
        <w:t xml:space="preserve">. 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6"/>
      </w:r>
      <w:r>
        <w:rPr>
          <w:rFonts w:ascii="Times New Roman" w:cs="Traditional Arabic" w:hAnsi="Times New Roman"/>
          <w:b w:val="false"/>
          <w:sz w:val="32"/>
          <w:szCs w:val="32"/>
          <w:rtl/>
        </w:rPr>
        <w:t xml:space="preserve">. وأيًّا كان الرّأي في هذه العلاقة، فإنّ مجرّد قيام المقارنة شاهد على المكانة الّتي بلغها هذا النّصّ.</w:t>
      </w:r>
    </w:p>
    <w:p>
      <w:pPr>
        <w:pStyle w:val="Heading2"/>
        <w:bidi/>
        <w:spacing w:after="120" w:before="240" w:line="360" w:lineRule="auto"/>
        <w:jc w:val="right"/>
      </w:pPr>
      <w:r>
        <w:rPr>
          <w:rFonts w:ascii="Times New Roman" w:cs="Traditional Arabic" w:hAnsi="Times New Roman"/>
          <w:b/>
          <w:bCs/>
          <w:sz w:val="36"/>
          <w:szCs w:val="36"/>
          <w:rtl/>
        </w:rPr>
        <w:t xml:space="preserve">2.6 المعرّي في عيون الدّارسين المحدثين</w:t>
      </w:r>
    </w:p>
    <w:p>
      <w:pPr>
        <w:bidi/>
        <w:spacing w:after="120" w:before="0" w:line="360" w:lineRule="auto"/>
        <w:jc w:val="both"/>
      </w:pPr>
      <w:r>
        <w:rPr>
          <w:rFonts w:ascii="Times New Roman" w:cs="Traditional Arabic" w:hAnsi="Times New Roman"/>
          <w:b w:val="false"/>
          <w:sz w:val="32"/>
          <w:szCs w:val="32"/>
          <w:rtl/>
        </w:rPr>
        <w:t xml:space="preserve">قلّ في أعلام العربيّة من نال من عناية الدّرس الحديث ما ناله المعرّي. فقد افتتح طه حسين هذه العناية بكتابه تجديد ذكرى أبي العلاء، ثمّ عاد إليه في مع أبي العلاء في سجنه شارحًا بلغة سلسة جملة صالحة من آرائه ومذاهبه في الحياة</w:t>
      </w:r>
      <w:r>
        <w:rPr>
          <w:rStyle w:val="FootnoteReference"/>
        </w:rPr>
        <w:footnoteReference w:id="37"/>
      </w:r>
      <w:r>
        <w:rPr>
          <w:rFonts w:ascii="Times New Roman" w:cs="Traditional Arabic" w:hAnsi="Times New Roman"/>
          <w:b w:val="false"/>
          <w:sz w:val="32"/>
          <w:szCs w:val="32"/>
          <w:rtl/>
        </w:rPr>
        <w:t xml:space="preserve">، وكان كما مرّ يرى نفسه إلى حدّ ما شبيهًا بصاحبه</w:t>
      </w:r>
      <w:r>
        <w:rPr>
          <w:rStyle w:val="FootnoteReference"/>
        </w:rPr>
        <w:footnoteReference w:id="38"/>
      </w:r>
      <w:r>
        <w:rPr>
          <w:rFonts w:ascii="Times New Roman" w:cs="Traditional Arabic" w:hAnsi="Times New Roman"/>
          <w:b w:val="false"/>
          <w:sz w:val="32"/>
          <w:szCs w:val="32"/>
          <w:rtl/>
        </w:rPr>
        <w:t xml:space="preserve">. وواصلت بنت الشّاطئ الطّريق بتحقيقها نصّ الغفران وبدراساتها الّتي دافعت فيها عن إيمان الرّجل وقرأت رسالته قراءة نفسيّة رائدة.</w:t>
      </w:r>
    </w:p>
    <w:p>
      <w:pPr>
        <w:bidi/>
        <w:spacing w:after="120" w:before="0" w:line="360" w:lineRule="auto"/>
        <w:jc w:val="both"/>
      </w:pPr>
      <w:r>
        <w:rPr>
          <w:rFonts w:ascii="Times New Roman" w:cs="Traditional Arabic" w:hAnsi="Times New Roman"/>
          <w:b w:val="false"/>
          <w:sz w:val="32"/>
          <w:szCs w:val="32"/>
          <w:rtl/>
        </w:rPr>
        <w:t xml:space="preserve">ولم تقف العناية عند العربيّة؛ فقد درسته توحيدي فر، وهي باحثة إيرانيّة، في معتقداته الدّينيّة، وذهبت في تقديم كتابها إلى عقد مقارنة بين فيلسوف المعرّة وأبيقور الّذي اشتهر بزهده وشوبنهور الوجوديّ، مؤكّدة أنّ فكرته جديرة بالبحث الطّويل</w:t>
      </w:r>
      <w:r>
        <w:rPr>
          <w:rStyle w:val="FootnoteReference"/>
        </w:rPr>
        <w:footnoteReference w:id="39"/>
      </w:r>
      <w:r>
        <w:rPr>
          <w:rFonts w:ascii="Times New Roman" w:cs="Traditional Arabic" w:hAnsi="Times New Roman"/>
          <w:b w:val="false"/>
          <w:sz w:val="32"/>
          <w:szCs w:val="32"/>
          <w:rtl/>
        </w:rPr>
        <w:t xml:space="preserve">، كما عرّف نيكلسون القرّاء الأوروبّيّين بشعره وفكره منذ مطلع القرن العشرين</w:t>
      </w:r>
      <w:r>
        <w:rPr>
          <w:rStyle w:val="FootnoteReference"/>
        </w:rPr>
        <w:footnoteReference w:id="40"/>
      </w:r>
      <w:r>
        <w:rPr>
          <w:rFonts w:ascii="Times New Roman" w:cs="Traditional Arabic" w:hAnsi="Times New Roman"/>
          <w:b w:val="false"/>
          <w:sz w:val="32"/>
          <w:szCs w:val="32"/>
          <w:rtl/>
        </w:rPr>
        <w:t xml:space="preserve">. وفي هذه الإطلالة ما يشير إلى أنّ الرّجل الّذي سنقرأ سخريته في الفصل الآتي ليس ظريفًا عابرًا في تاريخ الأدب، بل مفكّر وضعه الدّرس الحديث، شرقًا وغربًا، في صفّ كبار المتأمّلين في الوجود.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120" w:before="240" w:line="360" w:lineRule="auto"/>
        <w:jc w:val="right"/>
      </w:pPr>
      <w:r>
        <w:rPr>
          <w:rFonts w:ascii="Times New Roman" w:cs="Traditional Arabic" w:hAnsi="Times New Roman"/>
          <w:b/>
          <w:bCs/>
          <w:sz w:val="36"/>
          <w:szCs w:val="36"/>
          <w:rtl/>
        </w:rPr>
        <w:t xml:space="preserve">3.1 في مفهوم السّخرية</w:t>
      </w:r>
    </w:p>
    <w:p>
      <w:pPr>
        <w:bidi/>
        <w:spacing w:after="12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41"/>
      </w:r>
      <w:r>
        <w:rPr>
          <w:rFonts w:ascii="Times New Roman" w:cs="Traditional Arabic" w:hAnsi="Times New Roman"/>
          <w:b w:val="false"/>
          <w:sz w:val="32"/>
          <w:szCs w:val="32"/>
          <w:rtl/>
        </w:rPr>
        <w:t xml:space="preserve">. 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42"/>
      </w:r>
      <w:r>
        <w:rPr>
          <w:rFonts w:ascii="Times New Roman" w:cs="Traditional Arabic" w:hAnsi="Times New Roman"/>
          <w:b w:val="false"/>
          <w:sz w:val="32"/>
          <w:szCs w:val="32"/>
          <w:rtl/>
        </w:rPr>
        <w:t xml:space="preserve">. 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12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الشّعر الجاهليّ في بعض هجائه، وبلغت في نثر الجاحظ ذروة مبكّرة في البخلاء والتّربيع والتّدوير، حيث تتولّد الفكاهة من رسم الشّخصيّات والمواقف لا من الشّتم. وقد رصد نعمان طه هذا الخطّ الممتدّ في الأدب العربيّ حتّى نهاية القرن الرّابع</w:t>
      </w:r>
      <w:r>
        <w:rPr>
          <w:rStyle w:val="FootnoteReference"/>
        </w:rPr>
        <w:footnoteReference w:id="43"/>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120" w:before="0" w:line="360" w:lineRule="auto"/>
        <w:jc w:val="both"/>
      </w:pPr>
      <w:r>
        <w:rPr>
          <w:rFonts w:ascii="Times New Roman" w:cs="Traditional Arabic" w:hAnsi="Times New Roman"/>
          <w:b w:val="false"/>
          <w:sz w:val="32"/>
          <w:szCs w:val="32"/>
          <w:rtl/>
        </w:rPr>
        <w:t xml:space="preserve">ويحسن هنا تمييز السّخرية من جارتيها: الفكاهة والهجاء. فالفكاهة إضحاك بريء لا يستهدف أحدًا بعينه، والهجاء عدوان لفظيّ مكشوف يسمّي خصمه ويقصده، أمّا السّخرية فبينهما: فيها قصد النّقد الّذي في الهجاء، وفيها آليّة الإضحاك الّتي في الفكاهة، لكنّها تعمل بالإيحاء والمواربة. ولذلك كثيرًا ما كانت السّخرية سلاح العقول الكبيرة المقيّدة؛ فهي تتيح قول الخطر في صورة المباح. ومن هنا كان اختيار المعرّي لها اختيارًا مطابقًا لموقعه: رجل يرى ما لا يستطيع معاصروه رؤيته، ولا يملك أن يقوله كلّه صراحةً.</w:t>
      </w:r>
    </w:p>
    <w:p>
      <w:pPr>
        <w:pStyle w:val="Heading2"/>
        <w:bidi/>
        <w:spacing w:after="120" w:before="24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12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4"/>
      </w:r>
      <w:r>
        <w:rPr>
          <w:rFonts w:ascii="Times New Roman" w:cs="Traditional Arabic" w:hAnsi="Times New Roman"/>
          <w:b w:val="false"/>
          <w:sz w:val="32"/>
          <w:szCs w:val="32"/>
          <w:rtl/>
        </w:rPr>
        <w:t xml:space="preserve">. فالباعث الأوّل باعث شخصيّ نقديّ: رجل يتملّق الشّيخ الضّرير ويعلن توبة يشكّ الشّيخ في صدقها، فيكافئه المعرّي بردّ يظاهره التّرحيب ويبطن الامتحان.</w:t>
      </w:r>
    </w:p>
    <w:p>
      <w:pPr>
        <w:bidi/>
        <w:spacing w:after="120" w:before="0" w:line="360" w:lineRule="auto"/>
        <w:jc w:val="both"/>
      </w:pPr>
      <w:r>
        <w:rPr>
          <w:rFonts w:ascii="Times New Roman" w:cs="Traditional Arabic" w:hAnsi="Times New Roman"/>
          <w:b w:val="false"/>
          <w:sz w:val="32"/>
          <w:szCs w:val="32"/>
          <w:rtl/>
        </w:rPr>
        <w:t xml:space="preserve">وثمّة باعث أوسع: نقد العصر. فقد عُرف المعرّي بنقده لعصره بأسلوب ساخر يلمح به إلى حالة من عصره عن طريق أفعال الشّخصيّات أو المكان</w:t>
      </w:r>
      <w:r>
        <w:rPr>
          <w:rStyle w:val="FootnoteReference"/>
        </w:rPr>
        <w:footnoteReference w:id="45"/>
      </w:r>
      <w:r>
        <w:rPr>
          <w:rFonts w:ascii="Times New Roman" w:cs="Traditional Arabic" w:hAnsi="Times New Roman"/>
          <w:b w:val="false"/>
          <w:sz w:val="32"/>
          <w:szCs w:val="32"/>
          <w:rtl/>
        </w:rPr>
        <w:t xml:space="preserve">. 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12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6"/>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7"/>
      </w:r>
      <w:r>
        <w:rPr>
          <w:rFonts w:ascii="Times New Roman" w:cs="Traditional Arabic" w:hAnsi="Times New Roman"/>
          <w:b w:val="false"/>
          <w:sz w:val="32"/>
          <w:szCs w:val="32"/>
          <w:rtl/>
        </w:rPr>
        <w:t xml:space="preserve">. وسواء صحّ هذا التّأويل أم كان فيه من الإسقاط شيء، فإنّه يفسّر حرارة الوصف الحسّيّ الّذي تقوم عليه مبالغات الرّسالة السّاخرة.</w:t>
      </w:r>
    </w:p>
    <w:p>
      <w:pPr>
        <w:pStyle w:val="Heading2"/>
        <w:bidi/>
        <w:spacing w:after="120" w:before="24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100" w:before="180" w:line="360" w:lineRule="auto"/>
        <w:jc w:val="right"/>
      </w:pPr>
      <w:r>
        <w:rPr>
          <w:rFonts w:ascii="Times New Roman" w:cs="Traditional Arabic" w:hAnsi="Times New Roman"/>
          <w:b/>
          <w:bCs/>
          <w:sz w:val="32"/>
          <w:szCs w:val="32"/>
          <w:rtl/>
        </w:rPr>
        <w:t xml:space="preserve">أ. السّخرية من ابن القارح</w:t>
      </w:r>
    </w:p>
    <w:p>
      <w:pPr>
        <w:bidi/>
        <w:spacing w:after="120" w:before="0" w:line="360" w:lineRule="auto"/>
        <w:jc w:val="both"/>
      </w:pPr>
      <w:r>
        <w:rPr>
          <w:rFonts w:ascii="Times New Roman" w:cs="Traditional Arabic" w:hAnsi="Times New Roman"/>
          <w:b w:val="false"/>
          <w:sz w:val="32"/>
          <w:szCs w:val="32"/>
          <w:rtl/>
        </w:rPr>
        <w:t xml:space="preserve">ابن القارح هو الهدف الأوّل والأظهر. 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8"/>
      </w:r>
    </w:p>
    <w:p>
      <w:pPr>
        <w:bidi/>
        <w:spacing w:after="12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9"/>
      </w:r>
      <w:r>
        <w:rPr>
          <w:rFonts w:ascii="Times New Roman" w:cs="Traditional Arabic" w:hAnsi="Times New Roman"/>
          <w:b w:val="false"/>
          <w:sz w:val="32"/>
          <w:szCs w:val="32"/>
          <w:rtl/>
        </w:rPr>
        <w:t xml:space="preserve">. 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12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50"/>
      </w:r>
      <w:r>
        <w:rPr>
          <w:rFonts w:ascii="Times New Roman" w:cs="Traditional Arabic" w:hAnsi="Times New Roman"/>
          <w:b w:val="false"/>
          <w:sz w:val="32"/>
          <w:szCs w:val="32"/>
          <w:rtl/>
        </w:rPr>
        <w:t xml:space="preserve">. وليس شيء من هذا شتمًا؛ فالمعرّي لا يصف ابن القارح بقبيح قطّ، وإنّما يدعه يتحرّك أمام القارئ حتّى يضحك القارئ منه بنفسه. ولعلّ هذا من أرقى درجات الفنّ السّاخر.</w:t>
      </w:r>
    </w:p>
    <w:p>
      <w:pPr>
        <w:pStyle w:val="Heading3"/>
        <w:bidi/>
        <w:spacing w:after="100" w:before="18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12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51"/>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52"/>
      </w:r>
      <w:r>
        <w:rPr>
          <w:rFonts w:ascii="Times New Roman" w:cs="Traditional Arabic" w:hAnsi="Times New Roman"/>
          <w:b w:val="false"/>
          <w:sz w:val="32"/>
          <w:szCs w:val="32"/>
          <w:rtl/>
        </w:rPr>
        <w:t xml:space="preserve">. 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3"/>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4"/>
      </w:r>
      <w:r>
        <w:rPr>
          <w:rFonts w:ascii="Times New Roman" w:cs="Traditional Arabic" w:hAnsi="Times New Roman"/>
          <w:b w:val="false"/>
          <w:sz w:val="32"/>
          <w:szCs w:val="32"/>
          <w:rtl/>
        </w:rPr>
        <w:t xml:space="preserve">. 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12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وبهذا تصير الرّحلة الأخرويّة قاعة محاكمة معكوسة للنّقد الأدبيّ القديم.</w:t>
      </w:r>
    </w:p>
    <w:p>
      <w:pPr>
        <w:pStyle w:val="Heading3"/>
        <w:bidi/>
        <w:spacing w:after="100" w:before="18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12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5"/>
      </w:r>
      <w:r>
        <w:rPr>
          <w:rFonts w:ascii="Times New Roman" w:cs="Traditional Arabic" w:hAnsi="Times New Roman"/>
          <w:b w:val="false"/>
          <w:sz w:val="32"/>
          <w:szCs w:val="32"/>
          <w:rtl/>
        </w:rPr>
        <w:t xml:space="preserve">. وفي المقابل يطلّ أهل الجنّة على أهل النّار فيتجاذبون معهم أطراف الحديث في مسائل العروض، وتطلّ الخنساء على أخيها صخر في النّار اطّلالة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7"/>
      </w:r>
      <w:r>
        <w:rPr>
          <w:rFonts w:ascii="Times New Roman" w:cs="Traditional Arabic" w:hAnsi="Times New Roman"/>
          <w:b w:val="false"/>
          <w:sz w:val="32"/>
          <w:szCs w:val="32"/>
          <w:rtl/>
        </w:rPr>
        <w:t xml:space="preserve">. 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bidi/>
        <w:spacing w:after="100" w:before="18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120" w:before="0" w:line="360" w:lineRule="auto"/>
        <w:jc w:val="both"/>
      </w:pPr>
      <w:r>
        <w:rPr>
          <w:rFonts w:ascii="Times New Roman" w:cs="Traditional Arabic" w:hAnsi="Times New Roman"/>
          <w:b w:val="false"/>
          <w:sz w:val="32"/>
          <w:szCs w:val="32"/>
          <w:rtl/>
        </w:rPr>
        <w:t xml:space="preserve">وثمّة مستوى رابع يعلو الموضوعات الثّلاثة السّابقة: سخرية شاملة من الطّبيعة البشريّة ذاتها. فابن القارح ليس في عمق الرّسالة إلّا نموذجًا للإنسان: يطلب النّجاة بأرخص ثمن، وينسى في النّعيم ما قطعه على نفسه في الشّدّة، ويجادل في صغائر الأمور وجلائلها بالحرارة نفسها. والشّعراء في جنّة الغفران لم تغيّرهم الآخرة: ما زالوا يتنازعون الأسبقيّة ويتحاسدون على الرّواية. فكأنّ المعرّي يقول: انقلوا البشر إلى أيّ عالم شئتم، فسينقلون معهم أهواءهم.</w:t>
      </w:r>
    </w:p>
    <w:p>
      <w:pPr>
        <w:bidi/>
        <w:spacing w:after="12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8"/>
      </w:r>
      <w:r>
        <w:rPr>
          <w:rFonts w:ascii="Times New Roman" w:cs="Traditional Arabic" w:hAnsi="Times New Roman"/>
          <w:b w:val="false"/>
          <w:sz w:val="32"/>
          <w:szCs w:val="32"/>
          <w:rtl/>
        </w:rPr>
        <w:t xml:space="preserve">. 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ولعلّ هذا ما يعطي سخرية الغفران عمقها الإنسانيّ ويرفعها عن الشّماتة.</w:t>
      </w:r>
    </w:p>
    <w:p>
      <w:pPr>
        <w:bidi/>
        <w:spacing w:after="120" w:before="0" w:line="360" w:lineRule="auto"/>
        <w:jc w:val="both"/>
      </w:pPr>
      <w:r>
        <w:rPr>
          <w:rFonts w:ascii="Times New Roman" w:cs="Traditional Arabic" w:hAnsi="Times New Roman"/>
          <w:b w:val="false"/>
          <w:sz w:val="32"/>
          <w:szCs w:val="32"/>
          <w:rtl/>
        </w:rPr>
        <w:t xml:space="preserve">ويجدر التّنبيه إلى تفاوت منسوب السّخرية بين قسمي الرّسالة؛ فهي في قسم الرّحلة مبثوثة في نسيج القصّ ذاته، تتولّد من المواقف والحوارات، أمّا في قسم الرّدّ المباشر فتضيق مساحة القصّ وتحلّ محلّها سخرية أدقّ مسلكًا: مجاملات مبالغ فيها، وتنزيه للمخاطب يشفّ عن عكسه، ومناقشة لمسائل التّوبة والزّهد يظاهرها التّسليم ويبطنها الفحص. وبذلك تظلّ السّخرية حاضرة في القسمين معًا وإن اختلفت أدواتها، وهو ما يقوّي القول بأنّها بنية ناظمة للرّسالة كلّها لا خاصّيّة لقسم الرّحلة وحده.</w:t>
      </w:r>
    </w:p>
    <w:p>
      <w:pPr>
        <w:pStyle w:val="Heading2"/>
        <w:bidi/>
        <w:spacing w:after="120" w:before="24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12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120" w:before="0" w:line="360" w:lineRule="auto"/>
        <w:jc w:val="both"/>
      </w:pPr>
      <w:r>
        <w:rPr>
          <w:rFonts w:ascii="Times New Roman" w:cs="Traditional Arabic" w:hAnsi="Times New Roman"/>
          <w:b w:val="false"/>
          <w:sz w:val="32"/>
          <w:szCs w:val="32"/>
          <w:rtl/>
        </w:rPr>
        <w:t xml:space="preserve">أوّلًا: المفارقة، وهي أمّ الأدوات في الرّسالة: مفارقة بين جلال الموقف الأخرويّ وصغر الموضوعات المتنازع فيها، فالمحشر مشغول بمسائل العروض، والجنّة مجلس منادمة، والقيامة موعد لتصفية حسابات النّحاة. ومفارقة بين ظاهر الخطاب وباطنه، إذ يخاطب المعرّي ابن القارح بأجلّ عبارات التّبجيل وهو يعرّيه.</w:t>
      </w:r>
    </w:p>
    <w:p>
      <w:pPr>
        <w:bidi/>
        <w:spacing w:after="12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59"/>
      </w:r>
      <w:r>
        <w:rPr>
          <w:rFonts w:ascii="Times New Roman" w:cs="Traditional Arabic" w:hAnsi="Times New Roman"/>
          <w:b w:val="false"/>
          <w:sz w:val="32"/>
          <w:szCs w:val="32"/>
          <w:rtl/>
        </w:rPr>
        <w:t xml:space="preserve">. فالتّرحيب الحارّ بتوبة ابن القارح، والدّعاء المتّصل له بطول البقاء، كلاهما مديح ظاهره الصّفاء وباطنه الغمز.</w:t>
      </w:r>
    </w:p>
    <w:p>
      <w:pPr>
        <w:bidi/>
        <w:spacing w:after="120" w:before="0" w:line="360" w:lineRule="auto"/>
        <w:jc w:val="both"/>
      </w:pPr>
      <w:r>
        <w:rPr>
          <w:rFonts w:ascii="Times New Roman" w:cs="Traditional Arabic" w:hAnsi="Times New Roman"/>
          <w:b w:val="false"/>
          <w:sz w:val="32"/>
          <w:szCs w:val="32"/>
          <w:rtl/>
        </w:rPr>
        <w:t xml:space="preserve">ثالثًا: المحاكاة السّاخرة، إذ يحاكي المعرّي أجناسًا وخطابات قائمة ليكشف هشاشتها: يحاكي مجالس الإملاء والمناظرة في تصويره ندوات الجنّة، ويحاكي أدب الشّفاعات والتّوسّلات في رحلة ابن القارح بين الموقف والصّراط، ويحاكي أسانيد الرّواة حين يروي أخبار الجنّ بأسانيدها المزعومة.</w:t>
      </w:r>
    </w:p>
    <w:p>
      <w:pPr>
        <w:bidi/>
        <w:spacing w:after="12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120" w:before="0" w:line="360" w:lineRule="auto"/>
        <w:jc w:val="both"/>
      </w:pPr>
      <w:r>
        <w:rPr>
          <w:rFonts w:ascii="Times New Roman" w:cs="Traditional Arabic" w:hAnsi="Times New Roman"/>
          <w:b w:val="false"/>
          <w:sz w:val="32"/>
          <w:szCs w:val="32"/>
          <w:rtl/>
        </w:rPr>
        <w:t xml:space="preserve">خامسًا: الحوار وتوليد المواقف، فالسّخرية في الغفران لا تجيء تقريرًا بل تتولّد من الموقف نفسه: سؤال محرج، أو جواب بارد، أو مقابلة بين متحاورين لا يستويان. والحوار هو الّذي يمنح الرّسالة طابعها الرّوائيّ ويجعل القارئ شاهدًا على المفارقة لا متلقّيًا لحكم جاهز.</w:t>
      </w:r>
    </w:p>
    <w:p>
      <w:pPr>
        <w:bidi/>
        <w:spacing w:after="12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12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60"/>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120" w:before="240" w:line="360" w:lineRule="auto"/>
        <w:jc w:val="right"/>
      </w:pPr>
      <w:r>
        <w:rPr>
          <w:rFonts w:ascii="Times New Roman" w:cs="Traditional Arabic" w:hAnsi="Times New Roman"/>
          <w:b/>
          <w:bCs/>
          <w:sz w:val="36"/>
          <w:szCs w:val="36"/>
          <w:rtl/>
        </w:rPr>
        <w:t xml:space="preserve">3.5 موقف الكاتب: بين الجدّ والهزل</w:t>
      </w:r>
    </w:p>
    <w:p>
      <w:pPr>
        <w:bidi/>
        <w:spacing w:after="12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61"/>
      </w:r>
      <w:r>
        <w:rPr>
          <w:rFonts w:ascii="Times New Roman" w:cs="Traditional Arabic" w:hAnsi="Times New Roman"/>
          <w:b w:val="false"/>
          <w:sz w:val="32"/>
          <w:szCs w:val="32"/>
          <w:rtl/>
        </w:rPr>
        <w:t xml:space="preserve">. ويبدو هذا الوصف دقيقًا في جانبه الفنّيّ، لكنّه لا يعفي من تحديد وظيفة هذه الضّحكة.</w:t>
      </w:r>
    </w:p>
    <w:p>
      <w:pPr>
        <w:bidi/>
        <w:spacing w:after="12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والسّخرية عنده قناع يتيح قول هذا كلّه من غير مواجهة مكشوفة؛ فالنّاقد الّذي يضحك يصعب اتّهامه، والقصّة الخياليّة تحتمل دائمًا أن يقال إنّها مجرّد خيال. وبهذا المعنى يمكن عدّ السّخرية عند رهين المحبسين حرّيّته الممكنة: حرّيّة تقول ولا تُمسك عليها كلمة.</w:t>
      </w:r>
    </w:p>
    <w:p>
      <w:pPr>
        <w:bidi/>
        <w:spacing w:after="120" w:before="0" w:line="360" w:lineRule="auto"/>
        <w:jc w:val="both"/>
      </w:pPr>
      <w:r>
        <w:rPr>
          <w:rFonts w:ascii="Times New Roman" w:cs="Traditional Arabic" w:hAnsi="Times New Roman"/>
          <w:b w:val="false"/>
          <w:sz w:val="32"/>
          <w:szCs w:val="32"/>
          <w:rtl/>
        </w:rPr>
        <w:t xml:space="preserve">ويتّضح موقف المعرّي أكثر إذا قورنت سخريته بسخرية الجاحظ قبله. فسخرية الجاحظ اجتماعيّة مرحة، تنبع من محبّة الحياة ومؤانسة النّاس، وغايتها القريبة الإمتاع؛ أمّا سخرية المعرّي ففلسفيّة قاتمة، تنبع من موقف كامل من الوجود، والضّحك فيها أقرب إلى ضحك الحكيم الّذي رأى فبكى ثمّ ضحك. الجاحظ يضحك مع النّاس، والمعرّي يضحك من المسافة الّتي تفصله عنهم</w:t>
      </w:r>
      <w:r>
        <w:rPr>
          <w:rStyle w:val="FootnoteReference"/>
        </w:rPr>
        <w:footnoteReference w:id="62"/>
      </w:r>
      <w:r>
        <w:rPr>
          <w:rFonts w:ascii="Times New Roman" w:cs="Traditional Arabic" w:hAnsi="Times New Roman"/>
          <w:b w:val="false"/>
          <w:sz w:val="32"/>
          <w:szCs w:val="32"/>
          <w:rtl/>
        </w:rPr>
        <w:t xml:space="preserve">. وكلا الضّحكين نقد، لكنّ ضحكة الغفران أثقل ميراثًا لأنّها تحمل سؤال المصير نفسه.</w:t>
      </w:r>
    </w:p>
    <w:p>
      <w:pPr>
        <w:bidi/>
        <w:spacing w:after="120" w:before="0" w:line="360" w:lineRule="auto"/>
        <w:jc w:val="both"/>
      </w:pPr>
      <w:r>
        <w:rPr>
          <w:rFonts w:ascii="Times New Roman" w:cs="Traditional Arabic" w:hAnsi="Times New Roman"/>
          <w:b w:val="false"/>
          <w:sz w:val="32"/>
          <w:szCs w:val="32"/>
          <w:rtl/>
        </w:rPr>
        <w:t xml:space="preserve">ولا بدّ هنا من احتياط منهجيّ: فالسّخرية قائمة على الإيحاء لا التّصريح، وقارئها مطالب دومًا بأن يقدّر النّوايا تقديرًا، وهذه منطقة تكثر فيها مزالق التّأويل. ولذلك آثر هذا البحث الوقوف عند ما يسنده بناء النّصّ نفسه من مفارقات ومواقف، من غير قطع بمقاصد للكاتب لا سبيل إلى التّثبّت منها؛ فالمعرّي، كما مرّ، أحكم إغلاق نصّه على أكثر من قراءة، ولعلّ هذا الإحكام نفسه جزء من لعبته السّاخرة.</w:t>
      </w:r>
    </w:p>
    <w:p>
      <w:pPr>
        <w:bidi/>
        <w:spacing w:after="12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3"/>
      </w:r>
      <w:r>
        <w:rPr>
          <w:rFonts w:ascii="Times New Roman" w:cs="Traditional Arabic" w:hAnsi="Times New Roman"/>
          <w:b w:val="false"/>
          <w:sz w:val="32"/>
          <w:szCs w:val="32"/>
          <w:rtl/>
        </w:rPr>
        <w:t xml:space="preserve">. 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ومن هذه المسافة بالذّات تولد السّخرية الكبرى.</w:t>
      </w:r>
    </w:p>
    <w:p>
      <w:pPr>
        <w:pStyle w:val="Heading2"/>
        <w:bidi/>
        <w:spacing w:after="120" w:before="240" w:line="360" w:lineRule="auto"/>
        <w:jc w:val="right"/>
      </w:pPr>
      <w:r>
        <w:rPr>
          <w:rFonts w:ascii="Times New Roman" w:cs="Traditional Arabic" w:hAnsi="Times New Roman"/>
          <w:b/>
          <w:bCs/>
          <w:sz w:val="36"/>
          <w:szCs w:val="36"/>
          <w:rtl/>
        </w:rPr>
        <w:t xml:space="preserve">3.6 صدى سخرية الغفران</w:t>
      </w:r>
    </w:p>
    <w:p>
      <w:pPr>
        <w:bidi/>
        <w:spacing w:after="120" w:before="0" w:line="360" w:lineRule="auto"/>
        <w:jc w:val="both"/>
      </w:pPr>
      <w:r>
        <w:rPr>
          <w:rFonts w:ascii="Times New Roman" w:cs="Traditional Arabic" w:hAnsi="Times New Roman"/>
          <w:b w:val="false"/>
          <w:sz w:val="32"/>
          <w:szCs w:val="32"/>
          <w:rtl/>
        </w:rPr>
        <w:t xml:space="preserve">لم تمت ضحكة الغفران بموت صاحبها. فقد رأى دارسون أنّ الكوميديا الإلهيّة لدانتي تلتقي مع الرّسالة في فكرة الرّحلة الأخرويّة وفي كثير من التّفاصيل، حتّى استنتج بعضهم أنّها تكاد تكون منقولة عنها فكرةً وتفاصيل، وأنّ الشّاعر الإنجليزيّ ملتون تأثّر بها في الفردوس المفقود</w:t>
      </w:r>
      <w:r>
        <w:rPr>
          <w:rStyle w:val="FootnoteReference"/>
        </w:rPr>
        <w:footnoteReference w:id="64"/>
      </w:r>
      <w:r>
        <w:rPr>
          <w:rFonts w:ascii="Times New Roman" w:cs="Traditional Arabic" w:hAnsi="Times New Roman"/>
          <w:b w:val="false"/>
          <w:sz w:val="32"/>
          <w:szCs w:val="32"/>
          <w:rtl/>
        </w:rPr>
        <w:t xml:space="preserve">. 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رحلة دانتي جادّة مهيبة من أوّلها إلى آخرها، ورحلة ابن القارح تسير على حدّ المفارقة الهازلة. وقد صدرت الرّسالة كاملة بالعربيّة والإنجليزيّة ضمن سلسلة مكتبة الأدب العربيّ، فاتّسعت دائرة قرّائها. 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ولعلّ هذا ما يفسّر إقبال الدّرس الحديث، عربيًّا وغربيًّا، على الرّسالة بوصفها نصًّا حيًّا لم تستنفده القراءات بعد.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الخاتمة</w:t>
      </w:r>
    </w:p>
    <w:p>
      <w:pPr>
        <w:bidi/>
        <w:spacing w:after="12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12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12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12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وأنّها تحقّقت بأدوات فنّيّة أهمّها المفارقة وقلب المعنى والمحاكاة السّاخرة والمبالغة والحوار.</w:t>
      </w:r>
    </w:p>
    <w:p>
      <w:pPr>
        <w:bidi/>
        <w:spacing w:after="12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120" w:before="0" w:line="360" w:lineRule="auto"/>
        <w:jc w:val="both"/>
      </w:pPr>
      <w:r>
        <w:rPr>
          <w:rFonts w:ascii="Times New Roman" w:cs="Traditional Arabic" w:hAnsi="Times New Roman"/>
          <w:b w:val="false"/>
          <w:sz w:val="32"/>
          <w:szCs w:val="32"/>
          <w:rtl/>
        </w:rPr>
        <w:t xml:space="preserve">ويفتح البحث آفاقًا لدراسات لاحقة، منها: دراسة السّخرية في الفصول والغايات ورسائل المعرّي الأخرى للوقوف على تطوّر الأداة عنده، وتوسيع المقارنة النّصّيّة بين الغفران والكوميديا الإلهيّة في باب السّخرية خاصّة، ودراسة تلقّي سخرية الغفران عند القدماء والمحدثين بين الاتّهام والدّفاع. كما يقترح البحث عمليًّا إدراج نصوص مختارة من قسم الرّحلة في تدريس النّقد الأدبيّ القديم، لما تحويه محاوراتها من مباحث نقديّة أصيلة معروضة بأسلوب حيّ.</w:t>
      </w:r>
    </w:p>
    <w:p>
      <w:pPr>
        <w:bidi/>
        <w:spacing w:after="12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البيبليوغرافيا</w:t>
      </w:r>
    </w:p>
    <w:p>
      <w:pPr>
        <w:bidi/>
        <w:spacing w:after="120" w:before="0" w:line="360" w:lineRule="auto"/>
        <w:jc w:val="both"/>
      </w:pPr>
      <w:r>
        <w:rPr>
          <w:rFonts w:ascii="Times New Roman" w:cs="Traditional Arabic" w:hAnsi="Times New Roman"/>
          <w:b w:val="false"/>
          <w:sz w:val="32"/>
          <w:szCs w:val="32"/>
          <w:rtl/>
        </w:rPr>
        <w:t xml:space="preserve">1. أبو رحمة، عماد محمود. "أثر رسالة الغفران لأبي العلاء المعرّي في الكوميديا الإلهيّة لدانتي: دراسة نصّيّة مقارنة". </w:t>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غزّة: الجامعة الإسلاميّة، 2015.</w:t>
      </w:r>
    </w:p>
    <w:p>
      <w:pPr>
        <w:bidi/>
        <w:spacing w:after="120" w:before="0" w:line="360" w:lineRule="auto"/>
        <w:jc w:val="both"/>
      </w:pPr>
      <w:r>
        <w:rPr>
          <w:rFonts w:ascii="Times New Roman" w:cs="Traditional Arabic" w:hAnsi="Times New Roman"/>
          <w:b w:val="false"/>
          <w:sz w:val="32"/>
          <w:szCs w:val="32"/>
          <w:rtl/>
        </w:rPr>
        <w:t xml:space="preserve">2. بن قيراط، حنان. "فلسفة السّخرية في رسالة الغفران لأبي العلاء المعرّي". </w:t>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120" w:before="0" w:line="360" w:lineRule="auto"/>
        <w:jc w:val="both"/>
      </w:pPr>
      <w:r>
        <w:rPr>
          <w:rFonts w:ascii="Times New Roman" w:cs="Traditional Arabic" w:hAnsi="Times New Roman"/>
          <w:b w:val="false"/>
          <w:sz w:val="32"/>
          <w:szCs w:val="32"/>
          <w:rtl/>
        </w:rPr>
        <w:t xml:space="preserve">3. توحيدي فر، نرجس. </w:t>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بيروت: دار صادر، 2011.</w:t>
      </w:r>
    </w:p>
    <w:p>
      <w:pPr>
        <w:bidi/>
        <w:spacing w:after="120" w:before="0" w:line="360" w:lineRule="auto"/>
        <w:jc w:val="both"/>
      </w:pPr>
      <w:r>
        <w:rPr>
          <w:rFonts w:ascii="Times New Roman" w:cs="Traditional Arabic" w:hAnsi="Times New Roman"/>
          <w:b w:val="false"/>
          <w:sz w:val="32"/>
          <w:szCs w:val="32"/>
          <w:rtl/>
        </w:rPr>
        <w:t xml:space="preserve">4. الجندي، محمّد سليم. </w:t>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تعليق وإشراف: عبد الهادي هاشم. دمشق: المجمع العلميّ العربيّ، 1962-1964.</w:t>
      </w:r>
    </w:p>
    <w:p>
      <w:pPr>
        <w:bidi/>
        <w:spacing w:after="120" w:before="0" w:line="360" w:lineRule="auto"/>
        <w:jc w:val="both"/>
      </w:pPr>
      <w:r>
        <w:rPr>
          <w:rFonts w:ascii="Times New Roman" w:cs="Traditional Arabic" w:hAnsi="Times New Roman"/>
          <w:b w:val="false"/>
          <w:sz w:val="32"/>
          <w:szCs w:val="32"/>
          <w:rtl/>
        </w:rPr>
        <w:t xml:space="preserve">5. حسين، طه. </w:t>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6. حسين، طه. </w:t>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القاهرة: دار المعارف، 1939.</w:t>
      </w:r>
    </w:p>
    <w:p>
      <w:pPr>
        <w:bidi/>
        <w:spacing w:after="120" w:before="0" w:line="360" w:lineRule="auto"/>
        <w:jc w:val="both"/>
      </w:pPr>
      <w:r>
        <w:rPr>
          <w:rFonts w:ascii="Times New Roman" w:cs="Traditional Arabic" w:hAnsi="Times New Roman"/>
          <w:b w:val="false"/>
          <w:sz w:val="32"/>
          <w:szCs w:val="32"/>
          <w:rtl/>
        </w:rPr>
        <w:t xml:space="preserve">7. ضيف، شوقي. </w:t>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ط 13.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8. طه، نعمان محمّد أمين. </w:t>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القاهرة: دار التّوفيقيّة، 1979.</w:t>
      </w:r>
    </w:p>
    <w:p>
      <w:pPr>
        <w:bidi/>
        <w:spacing w:after="120" w:before="0" w:line="360" w:lineRule="auto"/>
        <w:jc w:val="both"/>
      </w:pPr>
      <w:r>
        <w:rPr>
          <w:rFonts w:ascii="Times New Roman" w:cs="Traditional Arabic" w:hAnsi="Times New Roman"/>
          <w:b w:val="false"/>
          <w:sz w:val="32"/>
          <w:szCs w:val="32"/>
          <w:rtl/>
        </w:rPr>
        <w:t xml:space="preserve">9. عبد الرّحمن، عائشة (بنت الشّاطئ). </w:t>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10. العقّاد، عبّاس محمود. </w:t>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11. كتّاني، سمير. "الأدب كإطار للمعارف في الموروث العربيّ الكلاسيكيّ: مفاهيمه، طبيعته ومضامينه". </w:t>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120" w:before="0" w:line="360" w:lineRule="auto"/>
        <w:jc w:val="both"/>
      </w:pPr>
      <w:r>
        <w:rPr>
          <w:rFonts w:ascii="Times New Roman" w:cs="Traditional Arabic" w:hAnsi="Times New Roman"/>
          <w:b w:val="false"/>
          <w:sz w:val="32"/>
          <w:szCs w:val="32"/>
          <w:rtl/>
        </w:rPr>
        <w:t xml:space="preserve">12. كرد علي، محمّد. </w:t>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القاهرة: مطبعة لجنة التّأليف والتّرجمة والنّشر، 1937.</w:t>
      </w:r>
    </w:p>
    <w:p>
      <w:pPr>
        <w:bidi/>
        <w:spacing w:after="120" w:before="0" w:line="360" w:lineRule="auto"/>
        <w:jc w:val="both"/>
      </w:pPr>
      <w:r>
        <w:rPr>
          <w:rFonts w:ascii="Times New Roman" w:cs="Traditional Arabic" w:hAnsi="Times New Roman"/>
          <w:b w:val="false"/>
          <w:sz w:val="32"/>
          <w:szCs w:val="32"/>
          <w:rtl/>
        </w:rPr>
        <w:t xml:space="preserve">13. مبارك، زكي. </w:t>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14.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عائشة عبد الرّحمن (بنت الشّاطئ). القاهرة: دار المعارف، 1963.</w:t>
      </w:r>
    </w:p>
    <w:p>
      <w:pPr>
        <w:bidi/>
        <w:spacing w:after="120" w:before="0" w:line="360" w:lineRule="auto"/>
        <w:jc w:val="both"/>
      </w:pPr>
      <w:r>
        <w:rPr>
          <w:rFonts w:ascii="Times New Roman" w:cs="Traditional Arabic" w:hAnsi="Times New Roman"/>
          <w:b w:val="false"/>
          <w:sz w:val="32"/>
          <w:szCs w:val="32"/>
          <w:rtl/>
        </w:rPr>
        <w:t xml:space="preserve">15.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كامل كيلاني. وندسور: مؤسّسة هنداوي، 2017.</w:t>
      </w:r>
    </w:p>
    <w:p>
      <w:pPr>
        <w:bidi/>
        <w:spacing w:after="120" w:before="0" w:line="360" w:lineRule="auto"/>
        <w:jc w:val="both"/>
      </w:pPr>
      <w:r>
        <w:rPr>
          <w:rFonts w:ascii="Times New Roman" w:cs="Traditional Arabic" w:hAnsi="Times New Roman"/>
          <w:b w:val="false"/>
          <w:sz w:val="32"/>
          <w:szCs w:val="32"/>
          <w:rtl/>
        </w:rPr>
        <w:t xml:space="preserve">16. المعرّي، أبو العلاء. </w:t>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بيروت: دار صادر، [د.ت].</w:t>
      </w:r>
    </w:p>
    <w:p>
      <w:pPr>
        <w:bidi/>
        <w:spacing w:after="120" w:before="0" w:line="360" w:lineRule="auto"/>
        <w:jc w:val="both"/>
      </w:pPr>
      <w:r>
        <w:rPr>
          <w:rFonts w:ascii="Times New Roman" w:cs="Traditional Arabic" w:hAnsi="Times New Roman"/>
          <w:b w:val="false"/>
          <w:sz w:val="32"/>
          <w:szCs w:val="32"/>
          <w:rtl/>
        </w:rPr>
        <w:t xml:space="preserve">17. المعرّي، أبو العلاء. </w:t>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اختيار وتقديم: أحمد رجب شلتوت. الجيزة: أزهى العربيّة للإعلام والفنون والدّراسات الإنسانيّة والنّشر، 2025.</w:t>
      </w:r>
    </w:p>
    <w:p>
      <w:pPr>
        <w:bidi/>
        <w:spacing w:after="120" w:before="0" w:line="360" w:lineRule="auto"/>
        <w:jc w:val="both"/>
      </w:pPr>
      <w:r>
        <w:rPr>
          <w:rFonts w:ascii="Times New Roman" w:cs="Traditional Arabic" w:hAnsi="Times New Roman"/>
          <w:b w:val="false"/>
          <w:sz w:val="32"/>
          <w:szCs w:val="32"/>
          <w:rtl/>
        </w:rPr>
        <w:t xml:space="preserve">18. المقدسي، أنيس. </w:t>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ط 8. بيروت: دار العلم للملايين، 1989.</w:t>
      </w:r>
    </w:p>
    <w:p>
      <w:pPr>
        <w:bidi/>
        <w:spacing w:after="120" w:before="0" w:line="360" w:lineRule="auto"/>
        <w:jc w:val="both"/>
      </w:pPr>
      <w:r>
        <w:rPr>
          <w:rFonts w:ascii="Times New Roman" w:cs="Traditional Arabic" w:hAnsi="Times New Roman"/>
          <w:b w:val="false"/>
          <w:sz w:val="32"/>
          <w:szCs w:val="32"/>
          <w:rtl/>
        </w:rPr>
        <w:t xml:space="preserve">19. الواد، حسين. </w:t>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خصائص كتابة القرن الرّابع: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ورسالة التّوابع والزّوابع سبقت الغفران بسنوات قليلة، ولا دليل على اطّلاع المعرّي عليها، ممّا يجعل التّشابه بينهما أقرب إلى توارد الخواطر الّذي تسمح به تقاليد القالب نفسه.</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في أجزائه الثّلاثة.</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وحسين،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4 (التّقديم).</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ويتحفّظ شلتوت نفسه على إخضاع النّصّ كلّه للتّحليل النّفسيّ، لأنّ النّصّ يتجاوز في طبيعة الحال تلك الرّغبات.</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تفصيل هذه المشاهد في: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(حكاية ابن القارح). ولعلّ القارئ المعاصر يلمح في مشهد القصيدة الّتي لا تنفع عند الملائكة وفي رحلة البحث عن الشّفاعات صورة مبكّرة لنقد الوساطات والمحسوبيّات، وهو ما يمنح النّصّ راهنيّة لافتة.</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محاورات ابن القارح مع الشّعراء والأدباء واللّغويّين الّتي تخيّلها المعرّي في العالم الآخر مصدرًا مهمًّا من مصادر دراسة النّقد الأدبيّ القديم، حيث حوت تلك المسامرات والمحاورات مباحث نقديّة مهمّة وأساسيّة في النّقد الأدبيّ. 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(الإوزّة)، و23-52 (وصف الفردوس). وقد جعله يتشوّق إلى الجنّة بما نعتها من أوصاف أشجارها وخمرها وأباريقها وعسلها وسمكها، وجعله يطلّ على مجالس من العلماء الّذين سمع بذكرهم: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واطّلالة الخنساء).</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5">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2026-08-14T20:00:49.364Z</dcterms:created>
  <dcterms:modified xsi:type="dcterms:W3CDTF">2026-08-14T20:00:49.364Z</dcterms:modified>
</cp:coreProperties>
</file>

<file path=docProps/custom.xml><?xml version="1.0" encoding="utf-8"?>
<Properties xmlns="http://schemas.openxmlformats.org/officeDocument/2006/custom-properties" xmlns:vt="http://schemas.openxmlformats.org/officeDocument/2006/docPropsVTypes"/>
</file>