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בסעיף 33ח לחוק הסכמים קיבוציים,</w:t>
      </w:r>
      <w:r>
        <w:rPr>
          <w:vertAlign w:val="superscript"/>
        </w:rPr>
        <w:footnoteReference w:id="2"/>
      </w:r>
      <w:r>
        <w:rPr>
          <w:sz w:val="24"/>
          <w:rtl/>
          <w:szCs w:val="24"/>
        </w:rPr>
        <w:t xml:space="preserve">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מבחן החברות: החברים הם בעיקר עובדים שכירים והחברות רצונית. מבחן התקנון: לארגון תקנון המסדיר את מוסדותיו ומטרותיו.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הנימוק שבהודעת הקבוצה אינו מחזיק משפטית. הוראות הסכם קיבוצי הן כללים קוגנטיים, ואילו חוזה אישי הוא דיספוזיטיבי,</w:t>
      </w:r>
      <w:r>
        <w:rPr>
          <w:vertAlign w:val="superscript"/>
        </w:rPr>
        <w:footnoteReference w:id="4"/>
      </w:r>
      <w:r>
        <w:rPr>
          <w:sz w:val="24"/>
          <w:rtl/>
          <w:szCs w:val="24"/>
        </w:rPr>
        <w:t xml:space="preserve"> אך לפי סעיף 22 לחוק הוראה בחוזה האישי שהיא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5"/>
      </w:r>
      <w:r>
        <w:rPr>
          <w:sz w:val="24"/>
          <w:rtl/>
          <w:szCs w:val="24"/>
        </w:rPr>
        <w:t xml:space="preserve"> נפסק שמטרתו העיקרית של ארגון עובדים חייבת להיות משא ומתן קיבוצי לשיפור תנאי העבודה, ושהמודל הקיבוצי שבבסיס החוק אינו נסוג מפני התרחבות החוזים האישיים.</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בית הדין הדגיש גם את הטעם לכך: ארגון יציג מקבל כוח לחייב אף עובדים שאינם חברים בו, ולכן רק גוף הכשיר למלא תפקיד זה יוכר.</w:t>
      </w:r>
      <w:r>
        <w:rPr>
          <w:vertAlign w:val="superscript"/>
        </w:rPr>
        <w:footnoteReference w:id="8"/>
      </w:r>
      <w:r>
        <w:rPr>
          <w:sz w:val="24"/>
          <w:rtl/>
          <w:szCs w:val="24"/>
        </w:rPr>
        <w:t xml:space="preserve"> הדמיון לענייננו בולט. בין מטרות הארגון בנוקיה נמנו "שימור קיום האתר בישראל" ו"פעולה בדרכי הידברות וגישור" עם ההנהלה,</w:t>
      </w:r>
      <w:r>
        <w:rPr>
          <w:vertAlign w:val="superscript"/>
        </w:rPr>
        <w:footnoteReference w:id="9"/>
      </w:r>
      <w:r>
        <w:rPr>
          <w:sz w:val="24"/>
          <w:rtl/>
          <w:szCs w:val="24"/>
        </w:rPr>
        <w:t xml:space="preserve">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w:t>
      </w:r>
      <w:r>
        <w:rPr>
          <w:vertAlign w:val="superscript"/>
        </w:rPr>
        <w:footnoteReference w:id="10"/>
      </w:r>
      <w:r>
        <w:rPr>
          <w:sz w:val="24"/>
          <w:rtl/>
          <w:szCs w:val="24"/>
        </w:rPr>
        <w:t xml:space="preserve">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11"/>
      </w:r>
      <w:r>
        <w:rPr>
          <w:sz w:val="24"/>
          <w:rtl/>
          <w:szCs w:val="24"/>
        </w:rPr>
        <w:t xml:space="preserve"> איזן בית הדין בין חופש הביטוי של המעסיק לחופש ההתארגנות, והבחין בין </w:t>
      </w:r>
      <w:r>
        <w:rPr>
          <w:b/>
          <w:sz w:val="24"/>
          <w:rtl/>
          <w:szCs w:val="24"/>
          <w:bCs/>
        </w:rPr>
        <w:t>ההתארגנות הפורצת</w:t>
      </w:r>
      <w:r>
        <w:rPr>
          <w:sz w:val="24"/>
          <w:rt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sz w:val="24"/>
          <w:rtl/>
          <w:szCs w:val="24"/>
        </w:rPr>
        <w:t>החוק למניעת הטרדה מינית נועד להגן על כבוד האדם, חירותו ופרטיותו.</w:t>
      </w:r>
      <w:r>
        <w:rPr>
          <w:vertAlign w:val="superscript"/>
        </w:rPr>
        <w:footnoteReference w:id="12"/>
      </w:r>
      <w:r>
        <w:rPr>
          <w:sz w:val="24"/>
          <w:rtl/>
          <w:szCs w:val="24"/>
        </w:rPr>
        <w:t xml:space="preserve"> החלופה הרלוונטית היא סעיף 3(א)(4): התייחסויות חוזרות המופנות לאדם, המתמקדות במיניותו, כאשר אותו אדם </w:t>
      </w:r>
      <w:r>
        <w:rPr>
          <w:b/>
          <w:sz w:val="24"/>
          <w:rtl/>
          <w:szCs w:val="24"/>
          <w:bCs/>
        </w:rPr>
        <w:t>הראה למטריד שאינו מעוניין</w:t>
      </w:r>
      <w:r>
        <w:rPr>
          <w:sz w:val="24"/>
          <w:rtl/>
          <w:szCs w:val="24"/>
        </w:rPr>
        <w:t xml:space="preserve"> בהן. השיחות התקיימו במשרד, ולכן ב"מסגרת יחסי עבודה".</w:t>
      </w:r>
    </w:p>
    <w:p>
      <w:pPr>
        <w:bidi/>
        <w:spacing w:before="0" w:after="0"/>
        <w:jc w:val="both"/>
      </w:pPr>
      <w:r>
        <w:rPr>
          <w:sz w:val="24"/>
          <w:rtl/>
          <w:szCs w:val="24"/>
        </w:rPr>
        <w:t>"הראה" פירושו במילים או בהתנהגות שאין ספק סביר לגבי משמעותה.</w:t>
      </w:r>
      <w:r>
        <w:rPr>
          <w:vertAlign w:val="superscript"/>
        </w:rPr>
        <w:footnoteReference w:id="13"/>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לפי סעיף 3(א)(6)(ג), כאשר ההתייחסויות נעשות תוך ניצול מרות ביחסי עבודה, אין צורך שהמוטרד יראה שאינו מעוניין. ב</w:t>
      </w:r>
      <w:r>
        <w:rPr>
          <w:b/>
          <w:sz w:val="24"/>
          <w:rtl/>
          <w:szCs w:val="24"/>
          <w:bCs/>
        </w:rPr>
        <w:t>עניין מדר</w:t>
      </w:r>
      <w:r>
        <w:rPr>
          <w:vertAlign w:val="superscript"/>
        </w:rPr>
        <w:footnoteReference w:id="14"/>
      </w:r>
      <w:r>
        <w:rPr>
          <w:sz w:val="24"/>
          <w:rtl/>
          <w:szCs w:val="24"/>
        </w:rPr>
        <w:t xml:space="preserve">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szCs w:val="24"/>
        </w:rPr>
        <w:t>עם זאת, גם כשקיימים יחסי מרות נדרשות התייחסויות חוזרות המתמקדות במיניותו של המוטרד, ונדרש שנוצלו יחסי המרות. השאלה על נטייתו של אורי נשאלה פעם אחת.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(סעיף 7(א) לחוק). Frame מעסיקה כ-70 עובדים, ולכן עליה גם לפרסם תקנון מותאם ולמנות אחראי לבירור תלונות (סעיף 7(ב)).</w:t>
      </w:r>
      <w:r>
        <w:rPr>
          <w:vertAlign w:val="superscript"/>
        </w:rPr>
        <w:footnoteReference w:id="15"/>
      </w:r>
      <w:r>
        <w:rPr>
          <w:sz w:val="24"/>
          <w:rtl/>
          <w:szCs w:val="24"/>
        </w:rPr>
        <w:t xml:space="preserve"> מעסיק שלא עשה כן אחראי בנזיקין למעשי עובדיו (סעיף 7(ג)).</w:t>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ואינה מותנית בכך שהמוטרד סירב. החוק מרחיב את המושג לפגיעה לפי סעיף 7 לחוק שוויון ההזדמנויות בעבודה, שלעניינה די בהתייחסות אחת לפי סעיף 3(א)(4).</w:t>
      </w:r>
      <w:r>
        <w:rPr>
          <w:vertAlign w:val="superscript"/>
        </w:rPr>
        <w:footnoteReference w:id="16"/>
      </w:r>
      <w:r>
        <w:rPr>
          <w:sz w:val="24"/>
          <w:rtl/>
          <w:szCs w:val="24"/>
        </w:rPr>
        <w:t xml:space="preserve">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משהוכיח זאת אורי, עובר למעסיק הנטל להראות שלא פגע בו,</w:t>
      </w:r>
      <w:r>
        <w:rPr>
          <w:vertAlign w:val="superscript"/>
        </w:rPr>
        <w:footnoteReference w:id="17"/>
      </w:r>
      <w:r>
        <w:rPr>
          <w:sz w:val="24"/>
          <w:rtl/>
          <w:szCs w:val="24"/>
        </w:rPr>
        <w:t xml:space="preserve"> ובית הדין רשאי לפסוק פיצוי של עד 120,000 ש"ח ללא הוכחת נזק.</w:t>
      </w:r>
      <w:r>
        <w:rPr>
          <w:vertAlign w:val="superscript"/>
        </w:rPr>
        <w:footnoteReference w:id="18"/>
      </w:r>
      <w:r>
        <w:rPr>
          <w:sz w:val="24"/>
          <w:rtl/>
          <w:szCs w:val="24"/>
        </w:rPr>
        <w:t xml:space="preserve"> לצד ההליך האזרחי פתוחים בפני אורי גם הליך משמעתי, תלונה פלילית ותביעה נגד המעסיק.</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9"/>
      </w:r>
      <w:r>
        <w:rPr>
          <w:sz w:val="24"/>
          <w:rtl/>
          <w:szCs w:val="24"/>
        </w:rPr>
        <w:t xml:space="preserve"> הפררוגטיבה הניהולית מתירה לו לשנות נהלי עבודה, כמו חובת השתתפות בישיבות, אך שינוי הפוגע במעמד העובד הוא </w:t>
      </w:r>
      <w:r>
        <w:rPr>
          <w:b/>
          <w:sz w:val="24"/>
          <w:rtl/>
          <w:szCs w:val="24"/>
          <w:bCs/>
        </w:rPr>
        <w:t>הרעת תנאים</w:t>
      </w:r>
      <w:r>
        <w:rPr>
          <w:sz w:val="24"/>
          <w:rtl/>
          <w:szCs w:val="24"/>
        </w:rPr>
        <w:t>.</w:t>
      </w:r>
      <w:r>
        <w:rPr>
          <w:vertAlign w:val="superscript"/>
        </w:rPr>
        <w:footnoteReference w:id="20"/>
      </w:r>
      <w:r>
        <w:rPr>
          <w:sz w:val="24"/>
          <w:rtl/>
          <w:szCs w:val="24"/>
        </w:rPr>
        <w:t xml:space="preserve">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w:t>
      </w:r>
      <w:r>
        <w:rPr>
          <w:vertAlign w:val="superscript"/>
        </w:rPr>
        <w:footnoteReference w:id="21"/>
      </w:r>
    </w:p>
    <w:p>
      <w:pPr>
        <w:bidi/>
        <w:spacing w:before="0" w:after="0"/>
        <w:jc w:val="both"/>
      </w:pPr>
      <w:r>
        <w:rPr>
          <w:sz w:val="24"/>
          <w:rtl/>
          <w:szCs w:val="24"/>
        </w:rPr>
        <w:t xml:space="preserve">לפי חוק פיצויי פיטורים,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2"/>
      </w:r>
      <w:r>
        <w:rPr>
          <w:sz w:val="24"/>
          <w:rtl/>
          <w:szCs w:val="24"/>
        </w:rPr>
        <w:t xml:space="preserve"> הזכאות עצמה מותנית בשנת עבודה אחת ברציפות אצל אותו מעסיק,</w:t>
      </w:r>
      <w:r>
        <w:rPr>
          <w:vertAlign w:val="superscript"/>
        </w:rPr>
        <w:footnoteReference w:id="23"/>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והזדמנות לתקן, לפעול בתום לב ובלי שיהוי, שכן שיהוי עלול להתפרש כהסכמה בהתנהגות. בעניין גולן</w:t>
      </w:r>
      <w:r>
        <w:rPr>
          <w:vertAlign w:val="superscript"/>
        </w:rPr>
        <w:footnoteReference w:id="24"/>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w:t>
      </w:r>
      <w:r>
        <w:rPr>
          <w:vertAlign w:val="superscript"/>
        </w:rPr>
        <w:footnoteReference w:id="25"/>
      </w:r>
      <w:r>
        <w:rPr>
          <w:sz w:val="24"/>
          <w:rtl/>
          <w:szCs w:val="24"/>
        </w:rPr>
        <w:t xml:space="preserve">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"היבטים משפטיים ואתיים בייעוץ ופיתוח ארגוני – מבוא" מצגת הקורס היבטים משפטיים ואתיים בייעוץ ופיתוח ארגוני, המרכז האקדמי פרס (2026).</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"היבטים משפטיים ואתיים בייעוץ ופיתוח ארגוני – מבוא" מצגת הקורס היבטים משפטיים ואתיים בייעוץ ופיתוח ארגוני, המרכז האקדמי פרס (2026); ס' 19-20 לחוק הסכמים קיבוציים.</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שם,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שם, פס' 43.</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שם, פס' 9.</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שם, פס' 18.</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ס' 2 לחוק למניעת הטרדה מינית (הגדרות "הראה" ו"מסגרת יחסי עבודה").</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ס' 7(ו) לחוק למניעת הטרדה מינית; ס' 7(א) לחוק שוויון ההזדמנויות בעבודה, התשמ"ח–1988.</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6א לחוק למניעת הטרדה מינית.</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6(ב), שם.</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 w:id="25">
    <w:p>
      <w:pPr>
        <w:bidi/>
        <w:spacing w:before="0" w:after="0" w:line="240" w:lineRule="auto"/>
        <w:jc w:val="both"/>
      </w:pPr>
      <w:r>
        <w:rPr>
          <w:vertAlign w:val="superscript"/>
          <w:sz w:val="20"/>
        </w:rPr>
        <w:footnoteRef/>
      </w:r>
      <w:r>
        <w:rPr>
          <w:sz w:val="20"/>
        </w:rPr>
        <w:t xml:space="preserve"> </w:t>
      </w:r>
      <w:r>
        <w:rPr>
          <w:rtl/>
          <w:sz w:val="20"/>
          <w:szCs w:val="20"/>
        </w:rPr>
        <w:t xml:space="preserve">ע"ע (ארצי) 28475-03-20 סלמאן נ' אקובג בע"מ, פס' 4-10 (נבו 7.12.2020).</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