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800000" cy="1800000"/>
                    </a:xfrm>
                    <a:prstGeom prst="rect"/>
                  </pic:spPr>
                </pic:pic>
              </a:graphicData>
            </a:graphic>
          </wp:inline>
        </w:drawing>
      </w:r>
    </w:p>
    <w:p>
      <w:pPr>
        <w:bidi/>
        <w:spacing w:before="240" w:after="0"/>
        <w:jc w:val="center"/>
      </w:pPr>
      <w:r>
        <w:rPr>
          <w:sz w:val="26"/>
          <w:rtl/>
          <w:szCs w:val="26"/>
        </w:rPr>
        <w:t>התכנית לייעוץ ופיתוח ארגוני, תואר שני</w:t>
      </w:r>
    </w:p>
    <w:p>
      <w:pPr>
        <w:bidi/>
        <w:spacing w:before="1400" w:after="0"/>
        <w:jc w:val="center"/>
      </w:pPr>
      <w:r>
        <w:rPr>
          <w:b/>
          <w:sz w:val="32"/>
          <w:rtl/>
          <w:szCs w:val="32"/>
          <w:bCs/>
        </w:rPr>
        <w:t>עבודה מסכמת</w:t>
      </w:r>
    </w:p>
    <w:p>
      <w:pPr>
        <w:bidi/>
        <w:spacing w:before="240" w:after="0"/>
        <w:jc w:val="center"/>
      </w:pPr>
      <w:r>
        <w:rPr>
          <w:b/>
          <w:sz w:val="32"/>
          <w:rtl/>
          <w:szCs w:val="32"/>
          <w:bCs/>
        </w:rPr>
        <w:t>היבטים משפטיים ואתיים בייעוץ ופיתוח ארגוני</w:t>
      </w:r>
    </w:p>
    <w:p>
      <w:pPr>
        <w:bidi/>
        <w:spacing w:before="0" w:after="0"/>
        <w:jc w:val="center"/>
      </w:pPr>
      <w:r>
        <w:rPr>
          <w:sz w:val="26"/>
          <w:rtl/>
          <w:szCs w:val="26"/>
        </w:rPr>
        <w:t>(קוד הקורס: 3008)</w:t>
      </w:r>
    </w:p>
    <w:p>
      <w:pPr>
        <w:bidi/>
        <w:spacing w:before="1200" w:after="0"/>
        <w:jc w:val="center"/>
      </w:pPr>
      <w:r>
        <w:rPr>
          <w:sz w:val="26"/>
          <w:rtl/>
          <w:szCs w:val="26"/>
        </w:rPr>
        <w:t>מרצה: ד"ר גליה הילדסהימר</w:t>
      </w:r>
    </w:p>
    <w:p>
      <w:pPr>
        <w:bidi/>
        <w:spacing w:before="0" w:after="0"/>
        <w:jc w:val="center"/>
      </w:pPr>
      <w:r>
        <w:rPr>
          <w:sz w:val="26"/>
          <w:rtl/>
          <w:szCs w:val="26"/>
        </w:rPr>
        <w:t>מתרגל: עו"ד טל מזר</w:t>
      </w:r>
    </w:p>
    <w:p>
      <w:pPr>
        <w:bidi/>
        <w:spacing w:before="1200" w:after="0"/>
        <w:jc w:val="center"/>
      </w:pPr>
      <w:r>
        <w:rPr>
          <w:sz w:val="26"/>
          <w:rtl/>
          <w:szCs w:val="26"/>
        </w:rPr>
        <w:t>מגיש/ה: ____________________</w:t>
      </w:r>
    </w:p>
    <w:p>
      <w:pPr>
        <w:bidi/>
        <w:spacing w:before="0" w:after="0"/>
        <w:jc w:val="center"/>
      </w:pPr>
      <w:r>
        <w:rPr>
          <w:sz w:val="26"/>
          <w:rtl/>
          <w:szCs w:val="26"/>
        </w:rPr>
        <w:t>ת"ז: ____________________</w:t>
      </w:r>
    </w:p>
    <w:p>
      <w:pPr>
        <w:bidi/>
        <w:spacing w:before="1200" w:after="0"/>
        <w:jc w:val="center"/>
      </w:pPr>
      <w:r>
        <w:rPr>
          <w:sz w:val="26"/>
          <w:rtl/>
          <w:szCs w:val="26"/>
        </w:rPr>
        <w:t>סמסטר קיץ, שנה"ל תשפ"ו</w:t>
      </w:r>
    </w:p>
    <w:p>
      <w:pPr>
        <w:bidi/>
        <w:spacing w:before="0" w:after="0"/>
        <w:jc w:val="center"/>
      </w:pPr>
      <w:r>
        <w:rPr>
          <w:sz w:val="26"/>
          <w:rtl/>
          <w:szCs w:val="26"/>
        </w:rPr>
        <w:t>אוקטובר 2026</w:t>
      </w:r>
    </w:p>
    <w:p>
      <w:pPr>
        <w:pageBreakBefore/>
        <w:bidi/>
        <w:spacing w:before="0" w:after="120"/>
        <w:jc w:val="center"/>
      </w:pPr>
      <w:r>
        <w:rPr>
          <w:b/>
          <w:sz w:val="28"/>
          <w:rtl/>
          <w:szCs w:val="28"/>
          <w:bCs/>
        </w:rPr>
        <w:t>חלק א': מעמדה של "קבוצת עובדי NeuroTech" ופעולות הנהלת החברה</w:t>
      </w:r>
    </w:p>
    <w:p>
      <w:pPr>
        <w:bidi/>
        <w:spacing w:before="120" w:after="0"/>
        <w:jc w:val="both"/>
      </w:pPr>
      <w:r>
        <w:rPr>
          <w:b/>
          <w:sz w:val="24"/>
          <w:rtl/>
          <w:szCs w:val="24"/>
          <w:bCs/>
        </w:rPr>
        <w:t>1. חופש ההתארגנות ומהו "ארגון עובדים"</w:t>
      </w:r>
    </w:p>
    <w:p>
      <w:pPr>
        <w:bidi/>
        <w:spacing w:before="0" w:after="0"/>
        <w:jc w:val="both"/>
      </w:pPr>
      <w:r>
        <w:rPr>
          <w:sz w:val="24"/>
          <w:rtl/>
          <w:szCs w:val="24"/>
        </w:rPr>
        <w:t>לחופש ההתארגנות שני פנים: הזכות של עובד להתארגן ולפעול בארגון עובדים, והזכות שלא להתארגן (</w:t>
      </w:r>
      <w:r>
        <w:rPr>
          <w:b/>
          <w:sz w:val="24"/>
          <w:rtl/>
          <w:szCs w:val="24"/>
          <w:bCs/>
        </w:rPr>
        <w:t>חופש מהתארגנות</w:t>
      </w:r>
      <w:r>
        <w:rPr>
          <w:sz w:val="24"/>
          <w:rtl/>
          <w:szCs w:val="24"/>
        </w:rPr>
        <w:t>).</w:t>
      </w:r>
      <w:r>
        <w:rPr>
          <w:vertAlign w:val="superscript"/>
        </w:rPr>
        <w:footnoteReference w:id="1"/>
      </w:r>
      <w:r>
        <w:rPr>
          <w:sz w:val="24"/>
          <w:rtl/>
          <w:szCs w:val="24"/>
        </w:rPr>
        <w:t xml:space="preserve"> הזכות הראשונה מעוגנת בסעיף 33ח לחוק הסכמים קיבוציים,</w:t>
      </w:r>
      <w:r>
        <w:rPr>
          <w:vertAlign w:val="superscript"/>
        </w:rPr>
        <w:footnoteReference w:id="2"/>
      </w:r>
      <w:r>
        <w:rPr>
          <w:sz w:val="24"/>
          <w:rtl/>
          <w:szCs w:val="24"/>
        </w:rPr>
        <w:t xml:space="preserve"> וסעיף 33י(א) אוסר על מעסיק לפגוע בעובד בשל חברותו בארגון עובדים, בשל פעילותו להקמתו, וגם בשל הימנעותו מלהיות חבר בו.</w:t>
      </w:r>
    </w:p>
    <w:p>
      <w:pPr>
        <w:bidi/>
        <w:spacing w:before="0" w:after="0"/>
        <w:jc w:val="both"/>
      </w:pPr>
      <w:r>
        <w:rPr>
          <w:sz w:val="24"/>
          <w:rtl/>
          <w:szCs w:val="24"/>
        </w:rPr>
        <w:t xml:space="preserve">ההכרה בגוף כ"ארגון עובדים" היא תנאי סף. רק ארגון עובדים יכול להיות </w:t>
      </w:r>
      <w:r>
        <w:rPr>
          <w:b/>
          <w:sz w:val="24"/>
          <w:rtl/>
          <w:szCs w:val="24"/>
          <w:bCs/>
        </w:rPr>
        <w:t>ארגון יציג</w:t>
      </w:r>
      <w:r>
        <w:rPr>
          <w:sz w:val="24"/>
          <w:rtl/>
          <w:szCs w:val="24"/>
        </w:rPr>
        <w:t>, כלומר הארגון שבו מאורגן המספר הגדול ביותר של העובדים, ובלבד שאינו פחות משליש (סעיף 3 לחוק), ורק הארגון היציג רשאי לחתום על הסכם קיבוצי מיוחד במפעל (סעיף 2(1) לחוק). החוק אינו מגדיר "ארגון עובדים", והמבחנים נקבעו ב</w:t>
      </w:r>
      <w:r>
        <w:rPr>
          <w:b/>
          <w:sz w:val="24"/>
          <w:rtl/>
          <w:szCs w:val="24"/>
          <w:bCs/>
        </w:rPr>
        <w:t>עניין עמית</w:t>
      </w:r>
      <w:r>
        <w:rPr>
          <w:sz w:val="24"/>
          <w:rtl/>
          <w:szCs w:val="24"/>
        </w:rPr>
        <w:t>.</w:t>
      </w:r>
      <w:r>
        <w:rPr>
          <w:vertAlign w:val="superscript"/>
        </w:rPr>
        <w:footnoteReference w:id="3"/>
      </w:r>
      <w:r>
        <w:rPr>
          <w:sz w:val="24"/>
          <w:rtl/>
          <w:szCs w:val="24"/>
        </w:rPr>
        <w:t xml:space="preserve"> מבחן החברות: החברים הם בעיקר עובדים שכירים והחברות רצונית. מבחן התקנון: לארגון תקנון המסדיר את מוסדותיו ומטרותיו. מבחן המטרה: קידום תנאי העבודה בדרך של משא ומתן קיבוצי. מבחן ההתארגנות: ארגון של קבע, עצמאי, המהווה קול נגדי למעסיק.</w:t>
      </w:r>
    </w:p>
    <w:p>
      <w:pPr>
        <w:bidi/>
        <w:spacing w:before="120" w:after="0"/>
        <w:jc w:val="both"/>
      </w:pPr>
      <w:r>
        <w:rPr>
          <w:b/>
          <w:sz w:val="24"/>
          <w:rtl/>
          <w:szCs w:val="24"/>
          <w:bCs/>
        </w:rPr>
        <w:t>2. האם הקבוצה היא ארגון עובדים?</w:t>
      </w:r>
    </w:p>
    <w:p>
      <w:pPr>
        <w:bidi/>
        <w:spacing w:before="0" w:after="0"/>
        <w:jc w:val="both"/>
      </w:pPr>
      <w:r>
        <w:rPr>
          <w:sz w:val="24"/>
          <w:rtl/>
          <w:szCs w:val="24"/>
        </w:rPr>
        <w:t xml:space="preserve">מבחני החברות והתקנון מתקיימים, והקושי בשני האחרים. </w:t>
      </w:r>
      <w:r>
        <w:rPr>
          <w:b/>
          <w:sz w:val="24"/>
          <w:rtl/>
          <w:szCs w:val="24"/>
          <w:bCs/>
        </w:rPr>
        <w:t>מבחן המטרה.</w:t>
      </w:r>
      <w:r>
        <w:rPr>
          <w:sz w:val="24"/>
          <w:rtl/>
          <w:szCs w:val="24"/>
        </w:rPr>
        <w:t xml:space="preserve"> אף שסעיף הסמכויות מקנה לקבוצה סמכויות של ארגון עובדים, מטרה ד' מוציאה מראש מתחום הפעולה הקיבוצית את השכר, הבונוסים והאופציות. גם מטרה ב', יציבות החברה והמשך פעילותה בישראל, היא אינטרס של המעסיק. הנימוק שבהודעת הקבוצה אינו מחזיק משפטית. הוראות הסכם קיבוצי הן כללים קוגנטיים, ואילו חוזה אישי הוא דיספוזיטיבי,</w:t>
      </w:r>
      <w:r>
        <w:rPr>
          <w:vertAlign w:val="superscript"/>
        </w:rPr>
        <w:footnoteReference w:id="4"/>
      </w:r>
      <w:r>
        <w:rPr>
          <w:sz w:val="24"/>
          <w:rtl/>
          <w:szCs w:val="24"/>
        </w:rPr>
        <w:t xml:space="preserve"> אך לפי סעיף 22 לחוק הוראה בחוזה האישי שהיא לטובת העובד גוברת על ההסכם הקיבוצי.</w:t>
      </w:r>
    </w:p>
    <w:p>
      <w:pPr>
        <w:bidi/>
        <w:spacing w:before="0" w:after="0"/>
        <w:jc w:val="both"/>
      </w:pPr>
      <w:r>
        <w:rPr>
          <w:b/>
          <w:sz w:val="24"/>
          <w:rtl/>
          <w:szCs w:val="24"/>
          <w:bCs/>
        </w:rPr>
        <w:t>מבחן ההתארגנות.</w:t>
      </w:r>
      <w:r>
        <w:rPr>
          <w:sz w:val="24"/>
          <w:rtl/>
          <w:szCs w:val="24"/>
        </w:rPr>
        <w:t xml:space="preserve"> הקבוצה הוקמה בתגובה ישירה להצטרפות העובדים להסתדרות ומגדירה את עצמה כמי שפועלת "בשיתוף פעולה ובהידברות" עם ההנהלה. גוף כזה אינו "קול נגדי" למעסיק.</w:t>
      </w:r>
    </w:p>
    <w:p>
      <w:pPr>
        <w:bidi/>
        <w:spacing w:before="0" w:after="0"/>
        <w:jc w:val="both"/>
      </w:pPr>
      <w:r>
        <w:rPr>
          <w:b/>
          <w:sz w:val="24"/>
          <w:rtl/>
          <w:szCs w:val="24"/>
          <w:bCs/>
        </w:rPr>
        <w:t>עניין נוקיה.</w:t>
      </w:r>
      <w:r>
        <w:rPr>
          <w:sz w:val="24"/>
          <w:rtl/>
          <w:szCs w:val="24"/>
        </w:rPr>
        <w:t xml:space="preserve"> בנוקיה הוקם ארגון פנימי כחלופה להסתדרות, שהדגיש "שמירה על החוזה האישי של כל עובד". בית הדין הארצי קבע כי העמידה במבחני עניין עמית נבחנת במועד הכרזת היציגות, וכי אין להקל בהם גם לארגון חדש, ובוודאי לא במבחן המטרה.</w:t>
      </w:r>
      <w:r>
        <w:rPr>
          <w:vertAlign w:val="superscript"/>
        </w:rPr>
        <w:footnoteReference w:id="5"/>
      </w:r>
      <w:r>
        <w:rPr>
          <w:sz w:val="24"/>
          <w:rtl/>
          <w:szCs w:val="24"/>
        </w:rPr>
        <w:t xml:space="preserve"> נפסק שמטרתו העיקרית של ארגון עובדים חייבת להיות משא ומתן קיבוצי לשיפור תנאי העבודה, ושהמודל הקיבוצי שבבסיס החוק אינו נסוג מפני התרחבות החוזים האישיים.</w:t>
      </w:r>
      <w:r>
        <w:rPr>
          <w:vertAlign w:val="superscript"/>
        </w:rPr>
        <w:footnoteReference w:id="6"/>
      </w:r>
      <w:r>
        <w:rPr>
          <w:sz w:val="24"/>
          <w:rtl/>
          <w:szCs w:val="24"/>
        </w:rPr>
        <w:t xml:space="preserve"> עוד נקבע כי אותנטיות היא תנאי הכרחי אך לא מספיק, ו"התארגנות אותנטית של שני שלישים מעובדי המפעל בארגון שכל תכליתה התנגדות ליחסי עבודה קיבוציים אינה יכולה להפוך את אותה התארגנות לארגון עובדים".</w:t>
      </w:r>
      <w:r>
        <w:rPr>
          <w:vertAlign w:val="superscript"/>
        </w:rPr>
        <w:footnoteReference w:id="7"/>
      </w:r>
      <w:r>
        <w:rPr>
          <w:sz w:val="24"/>
          <w:rtl/>
          <w:szCs w:val="24"/>
        </w:rPr>
        <w:t xml:space="preserve"> בית הדין הדגיש גם את הטעם לכך: ארגון יציג מקבל כוח לחייב אף עובדים שאינם חברים בו, ולכן רק גוף הכשיר למלא תפקיד זה יוכר.</w:t>
      </w:r>
      <w:r>
        <w:rPr>
          <w:vertAlign w:val="superscript"/>
        </w:rPr>
        <w:footnoteReference w:id="8"/>
      </w:r>
      <w:r>
        <w:rPr>
          <w:sz w:val="24"/>
          <w:rtl/>
          <w:szCs w:val="24"/>
        </w:rPr>
        <w:t xml:space="preserve"> הדמיון לענייננו בולט. בין מטרות הארגון בנוקיה נמנו "שימור קיום האתר בישראל" ו"פעולה בדרכי הידברות וגישור" עם ההנהלה,</w:t>
      </w:r>
      <w:r>
        <w:rPr>
          <w:vertAlign w:val="superscript"/>
        </w:rPr>
        <w:footnoteReference w:id="9"/>
      </w:r>
      <w:r>
        <w:rPr>
          <w:sz w:val="24"/>
          <w:rtl/>
          <w:szCs w:val="24"/>
        </w:rPr>
        <w:t xml:space="preserve"> ואלה כמעט זהות למטרות ב' ו-ג' של הקבוצה. מאחר שהעמידה במבחנים נבחנת במועד ההכרזה, אין בתיקון מאוחר של התקנון כדי להכשיר את הקבוצה, ואין נפקות לכך שעובדים רבים הצטרפו אליה. יתרה מזו, בנוקיה נקבע שהחברה לא תמכה בארגון הפנימי,</w:t>
      </w:r>
      <w:r>
        <w:rPr>
          <w:vertAlign w:val="superscript"/>
        </w:rPr>
        <w:footnoteReference w:id="10"/>
      </w:r>
      <w:r>
        <w:rPr>
          <w:sz w:val="24"/>
          <w:rtl/>
          <w:szCs w:val="24"/>
        </w:rPr>
        <w:t xml:space="preserve"> ואילו כאן המנכ"ל בירך על הקמת הקבוצה ופעל נגד ההסתדרות, כך שגם מבחן העצמאות מהמעסיק אינו מתקיים.</w:t>
      </w:r>
    </w:p>
    <w:p>
      <w:pPr>
        <w:bidi/>
        <w:spacing w:before="0" w:after="0"/>
        <w:jc w:val="both"/>
      </w:pPr>
      <w:r>
        <w:rPr>
          <w:sz w:val="24"/>
          <w:rtl/>
          <w:szCs w:val="24"/>
        </w:rPr>
        <w:t>אין בכך כדי לפגוע בחופש מהתארגנות. עובד רשאי שלא להצטרף להסתדרות, וסעיף 33י(א)(3) מגן עליו מפני פגיעה בשל כך. חברי הקבוצה אינם נספרים לצורך היציגות, והודעתה כי היא הארגון היציג חסרת נפקות. חובת המעסיק לנהל משא ומתן בהתארגנות ראשונית חלה רק כלפי ארגון יציג לפי סעיף 3 (סעיף 33ח1), ואם ההסתדרות תהיה יציגה, עמה יהיה על ההנהלה לנהל משא ומתן.</w:t>
      </w:r>
    </w:p>
    <w:p>
      <w:pPr>
        <w:bidi/>
        <w:spacing w:before="120" w:after="0"/>
        <w:jc w:val="both"/>
      </w:pPr>
      <w:r>
        <w:rPr>
          <w:b/>
          <w:sz w:val="24"/>
          <w:rtl/>
          <w:szCs w:val="24"/>
          <w:bCs/>
        </w:rPr>
        <w:t>3. האם פעולות ההנהלה נעשו כדין?</w:t>
      </w:r>
    </w:p>
    <w:p>
      <w:pPr>
        <w:bidi/>
        <w:spacing w:before="0" w:after="0"/>
        <w:jc w:val="both"/>
      </w:pPr>
      <w:r>
        <w:rPr>
          <w:sz w:val="24"/>
          <w:rtl/>
          <w:szCs w:val="24"/>
        </w:rPr>
        <w:t>ב</w:t>
      </w:r>
      <w:r>
        <w:rPr>
          <w:b/>
          <w:sz w:val="24"/>
          <w:rtl/>
          <w:szCs w:val="24"/>
          <w:bCs/>
        </w:rPr>
        <w:t>עניין פלאפון</w:t>
      </w:r>
      <w:r>
        <w:rPr>
          <w:vertAlign w:val="superscript"/>
        </w:rPr>
        <w:footnoteReference w:id="11"/>
      </w:r>
      <w:r>
        <w:rPr>
          <w:sz w:val="24"/>
          <w:rtl/>
          <w:szCs w:val="24"/>
        </w:rPr>
        <w:t xml:space="preserve"> איזן בית הדין בין חופש הביטוי של המעסיק לחופש ההתארגנות, והבחין בין </w:t>
      </w:r>
      <w:r>
        <w:rPr>
          <w:b/>
          <w:sz w:val="24"/>
          <w:rtl/>
          <w:szCs w:val="24"/>
          <w:bCs/>
        </w:rPr>
        <w:t>ההתארגנות הפורצת</w:t>
      </w:r>
      <w:r>
        <w:rPr>
          <w:sz w:val="24"/>
          <w:rtl/>
          <w:szCs w:val="24"/>
        </w:rPr>
        <w:t xml:space="preserve"> לבין שלב שבו כבר קיים ארגון יציג. בשלב הראשון גובר חופש ההתארגנות: המעסיק אינו רשאי להביע עמדה על ההתארגנות בשום ערוץ, לרבות בשיחות אישיות ובדואר אלקטרוני, וגם הצבעה על חסרונותיה לעובדים או לחברה, נכונה ככל שתהיה, אסורה. ההתארגנות ב-NeuroTech נמצאת בשלב הפורץ, ולכן שלוש פעולות ההנהלה אסורות.</w:t>
      </w:r>
    </w:p>
    <w:p>
      <w:pPr>
        <w:bidi/>
        <w:spacing w:before="0" w:after="0"/>
        <w:jc w:val="both"/>
      </w:pPr>
      <w:r>
        <w:rPr>
          <w:sz w:val="24"/>
          <w:rtl/>
          <w:szCs w:val="24"/>
        </w:rPr>
        <w:t>הודעת הדואר האלקטרוני מציגה את ההסתדרות כגורם "חיצוני" שעלול לשנות את התרבות הארגונית וקוראת לעובדים "לשקול היטב". זו הצגת חסרונות ההתארגנות בתכתובת אלקטרונית, כמו ההודעה שנפסלה בעניין פלאפון, אף שהנוסח מתון יותר. הרמז שההסתדרות תפגע ב"תנאי העבודה האישיים" דומה לאזהרה שם מפני נזק לחברה ולעובדים, ובית הדין קבע כי אזהרה כזו אסורה גם כשיש בה אמת. הנחיית מנהלי הצוותים לשוחח עם עובדיהם על "יתרונות המודל האישי" היא מפגש אישי שנאסר במפורש. חומרתה רבה, שכן המנהלים משפיעים על הבונוסים והקידום, וכל שיחה כזו עלולה להיתפס כאיום. הפגישה עם הקבוצה ודברי השבח כלפיה מעבירים בעקיפין את אותו מסר. בעניין פלאפון ניתנו צווים שאסרו על החברה להציג את עמדתה בכל ערוץ ולעקוב אחר העובדים המתארגנים, וצווים דומים מתבקשים גם כאן.</w:t>
      </w:r>
    </w:p>
    <w:p>
      <w:pPr>
        <w:bidi/>
        <w:spacing w:before="120" w:after="0"/>
        <w:jc w:val="both"/>
      </w:pPr>
      <w:r>
        <w:rPr>
          <w:b/>
          <w:sz w:val="24"/>
          <w:rtl/>
          <w:szCs w:val="24"/>
          <w:bCs/>
        </w:rPr>
        <w:t>4. סיכום</w:t>
      </w:r>
    </w:p>
    <w:p>
      <w:pPr>
        <w:bidi/>
        <w:spacing w:before="0" w:after="0"/>
        <w:jc w:val="both"/>
      </w:pPr>
      <w:r>
        <w:rPr>
          <w:sz w:val="24"/>
          <w:rtl/>
          <w:szCs w:val="24"/>
        </w:rPr>
        <w:t>טענות ההסתדרות מוצדקות: הקבוצה אינה ארגון עובדים, כפי שנפסק בעניין נוקיה, ופעולות ההנהלה הפרו את הלכת פלאפון.</w:t>
      </w:r>
    </w:p>
    <w:p>
      <w:pPr>
        <w:pageBreakBefore/>
        <w:bidi/>
        <w:spacing w:before="0" w:after="120"/>
        <w:jc w:val="center"/>
      </w:pPr>
      <w:r>
        <w:rPr>
          <w:b/>
          <w:sz w:val="28"/>
          <w:rtl/>
          <w:szCs w:val="28"/>
          <w:bCs/>
        </w:rPr>
        <w:t>חלק ב': טענותיו של אורי</w:t>
      </w:r>
    </w:p>
    <w:p>
      <w:pPr>
        <w:bidi/>
        <w:spacing w:before="120" w:after="0"/>
        <w:jc w:val="both"/>
      </w:pPr>
      <w:r>
        <w:rPr>
          <w:b/>
          <w:sz w:val="24"/>
          <w:rtl/>
          <w:szCs w:val="24"/>
          <w:bCs/>
        </w:rPr>
        <w:t>1. האם התנהגותה של דנה עלתה כדי הטרדה מינית?</w:t>
      </w:r>
    </w:p>
    <w:p>
      <w:pPr>
        <w:bidi/>
        <w:spacing w:before="0" w:after="0"/>
        <w:jc w:val="both"/>
      </w:pPr>
      <w:r>
        <w:rPr>
          <w:sz w:val="24"/>
          <w:rtl/>
          <w:szCs w:val="24"/>
        </w:rPr>
        <w:t>החוק למניעת הטרדה מינית נועד להגן על כבוד האדם, חירותו ופרטיותו.</w:t>
      </w:r>
      <w:r>
        <w:rPr>
          <w:vertAlign w:val="superscript"/>
        </w:rPr>
        <w:footnoteReference w:id="12"/>
      </w:r>
      <w:r>
        <w:rPr>
          <w:sz w:val="24"/>
          <w:rtl/>
          <w:szCs w:val="24"/>
        </w:rPr>
        <w:t xml:space="preserve"> החלופה הרלוונטית היא סעיף 3(א)(4): התייחסויות חוזרות המופנות לאדם, המתמקדות במיניותו, כאשר אותו אדם </w:t>
      </w:r>
      <w:r>
        <w:rPr>
          <w:b/>
          <w:sz w:val="24"/>
          <w:rtl/>
          <w:szCs w:val="24"/>
          <w:bCs/>
        </w:rPr>
        <w:t>הראה למטריד שאינו מעוניין</w:t>
      </w:r>
      <w:r>
        <w:rPr>
          <w:sz w:val="24"/>
          <w:rtl/>
          <w:szCs w:val="24"/>
        </w:rPr>
        <w:t xml:space="preserve"> בהן. השיחות התקיימו במשרד, ולכן ב"מסגרת יחסי עבודה".</w:t>
      </w:r>
    </w:p>
    <w:p>
      <w:pPr>
        <w:bidi/>
        <w:spacing w:before="0" w:after="0"/>
        <w:jc w:val="both"/>
      </w:pPr>
      <w:r>
        <w:rPr>
          <w:sz w:val="24"/>
          <w:rtl/>
          <w:szCs w:val="24"/>
        </w:rPr>
        <w:t>"הראה" פירושו במילים או בהתנהגות שאין ספק סביר לגבי משמעותה.</w:t>
      </w:r>
      <w:r>
        <w:rPr>
          <w:vertAlign w:val="superscript"/>
        </w:rPr>
        <w:footnoteReference w:id="13"/>
      </w:r>
      <w:r>
        <w:rPr>
          <w:sz w:val="24"/>
          <w:rtl/>
          <w:szCs w:val="24"/>
        </w:rPr>
        <w:t xml:space="preserve"> אורי לא הראה זאת בתחילה: הוא שאל שאלות ושיתף פרטים מחייו, וכשביקש להשאיר את הנושא מחוץ לעבודה, דנה הפסיקה מיד.</w:t>
      </w:r>
    </w:p>
    <w:p>
      <w:pPr>
        <w:bidi/>
        <w:spacing w:before="0" w:after="0"/>
        <w:jc w:val="both"/>
      </w:pPr>
      <w:r>
        <w:rPr>
          <w:sz w:val="24"/>
          <w:rtl/>
          <w:szCs w:val="24"/>
        </w:rPr>
        <w:t xml:space="preserve">השאלה העיקרית היא </w:t>
      </w:r>
      <w:r>
        <w:rPr>
          <w:b/>
          <w:sz w:val="24"/>
          <w:rtl/>
          <w:szCs w:val="24"/>
          <w:bCs/>
        </w:rPr>
        <w:t>יחסי מרות</w:t>
      </w:r>
      <w:r>
        <w:rPr>
          <w:sz w:val="24"/>
          <w:rtl/>
          <w:szCs w:val="24"/>
        </w:rPr>
        <w:t>. לפי סעיף 3(א)(6)(ג), כאשר ההתייחסויות נעשות תוך ניצול מרות ביחסי עבודה, אין צורך שהמוטרד יראה שאינו מעוניין. ב</w:t>
      </w:r>
      <w:r>
        <w:rPr>
          <w:b/>
          <w:sz w:val="24"/>
          <w:rtl/>
          <w:szCs w:val="24"/>
          <w:bCs/>
        </w:rPr>
        <w:t>עניין מדר</w:t>
      </w:r>
      <w:r>
        <w:rPr>
          <w:vertAlign w:val="superscript"/>
        </w:rPr>
        <w:footnoteReference w:id="14"/>
      </w:r>
      <w:r>
        <w:rPr>
          <w:sz w:val="24"/>
          <w:rtl/>
          <w:szCs w:val="24"/>
        </w:rPr>
        <w:t xml:space="preserve"> נקבע שיחסי מרות התקיימו אף שהמטריד לא היה הממונה הישיר, ושבקשה עמומה להפסיק, שנבעה מחשש למקום העבודה, אינה שוללת את ההטרדה. לדנה אין סמכות לקבל או לפטר, אך היא משפיעה על שיבוץ וקידום עובדים צעירים כמו אורי. לפי הלכת מדר אלה יחסי מרות, ולכן השתתפותו של אורי בשיחות אינה מעידה בהכרח על הסכמה.</w:t>
      </w:r>
    </w:p>
    <w:p>
      <w:pPr>
        <w:bidi/>
        <w:spacing w:before="0" w:after="0"/>
        <w:jc w:val="both"/>
      </w:pPr>
      <w:r>
        <w:rPr>
          <w:sz w:val="24"/>
          <w:rtl/>
          <w:szCs w:val="24"/>
        </w:rPr>
        <w:t>עם זאת, גם כשקיימים יחסי מרות נדרשות התייחסויות חוזרות המתמקדות במיניותו של המוטרד, ונדרש שנוצלו יחסי המרות. השאלה על נטייתו של אורי נשאלה פעם אחת. לכן יש לבחון שתי אפשרויות. אם לא יוכרו יחסי מרות, אין הטרדה: אורי הראה שאינו מעוניין רק בשלב מאוחר, ומאז לא נאמרה כל התייחסות נוספת. אם יוכרו יחסי מרות, עדיין נדרשות התייחסויות חוזרות למיניותו שלו, ואילו רוב השיחות עסקו במיניותה של דנה, היו הדדיות ולא נקשרו למעמדו בעבודה. בשתי האפשרויות קשה לבסס הטרדה מינית. תחושתה של דנה כי הם "חברים טובים" אינה מכרעת: אילו הוכח ניצול מרות, לא היה צורך שאורי יראה דבר. אין זו גם הטרדה סביבתית, שכן ההתנהגות לא יצרה אווירה כללית במשרד.</w:t>
      </w:r>
    </w:p>
    <w:p>
      <w:pPr>
        <w:bidi/>
        <w:spacing w:before="120" w:after="0"/>
        <w:jc w:val="both"/>
      </w:pPr>
      <w:r>
        <w:rPr>
          <w:b/>
          <w:sz w:val="24"/>
          <w:rtl/>
          <w:szCs w:val="24"/>
          <w:bCs/>
        </w:rPr>
        <w:t>2. חובות המעסיק והתנכלות</w:t>
      </w:r>
    </w:p>
    <w:p>
      <w:pPr>
        <w:bidi/>
        <w:spacing w:before="0" w:after="0"/>
        <w:jc w:val="both"/>
      </w:pPr>
      <w:r>
        <w:rPr>
          <w:sz w:val="24"/>
          <w:rtl/>
          <w:szCs w:val="24"/>
        </w:rPr>
        <w:t>מעסיק חייב לנקוט אמצעים סבירים למניעת הטרדה מינית ולטפל בכל מקרה (סעיף 7(א) לחוק). Frame מעסיקה כ-70 עובדים, ולכן עליה גם לפרסם תקנון מותאם ולמנות אחראי לבירור תלונות (סעיף 7(ב)).</w:t>
      </w:r>
      <w:r>
        <w:rPr>
          <w:vertAlign w:val="superscript"/>
        </w:rPr>
        <w:footnoteReference w:id="15"/>
      </w:r>
      <w:r>
        <w:rPr>
          <w:sz w:val="24"/>
          <w:rtl/>
          <w:szCs w:val="24"/>
        </w:rPr>
        <w:t xml:space="preserve"> מעסיק שלא עשה כן אחראי בנזיקין למעשי עובדיו (סעיף 7(ג)).</w:t>
      </w:r>
    </w:p>
    <w:p>
      <w:pPr>
        <w:bidi/>
        <w:spacing w:before="0" w:after="0"/>
        <w:jc w:val="both"/>
      </w:pPr>
      <w:r>
        <w:rPr>
          <w:b/>
          <w:sz w:val="24"/>
          <w:rtl/>
          <w:szCs w:val="24"/>
          <w:bCs/>
        </w:rPr>
        <w:t>התנכלות</w:t>
      </w:r>
      <w:r>
        <w:rPr>
          <w:sz w:val="24"/>
          <w:rtl/>
          <w:szCs w:val="24"/>
        </w:rPr>
        <w:t xml:space="preserve"> היא פגיעה מכל סוג שמקורה בהטרדה מינית או בתלונה עליה (סעיף 3(ב)), ואינה מותנית בכך שהמוטרד סירב. החוק מרחיב את המושג לפגיעה לפי סעיף 7 לחוק שוויון ההזדמנויות בעבודה, שלעניינה די בהתייחסות אחת לפי סעיף 3(א)(4).</w:t>
      </w:r>
      <w:r>
        <w:rPr>
          <w:vertAlign w:val="superscript"/>
        </w:rPr>
        <w:footnoteReference w:id="16"/>
      </w:r>
      <w:r>
        <w:rPr>
          <w:sz w:val="24"/>
          <w:rtl/>
          <w:szCs w:val="24"/>
        </w:rPr>
        <w:t xml:space="preserve"> אם יוכרו יחסי מרות, גם השאלה הבודדת על נטייתו של אורי עשויה להספיק. העברתו חודש אחרי שביקש לסיים את השיחות, והשפעתה של דנה על השיבוץ, מעוררות חשד לקשר כזה. השאלה המכרעת היא מי החליט על ההעברה ומדוע: אם דנה המליצה עליה או השפיעה עליה, מדובר בפגיעה שמקורה בהטרדה; אם ההחלטה התקבלה משיקולים ענייניים של צורכי הפרויקטים, אין התנכלות. אם יוכיח אורי שהייתה הטרדה, יעבור למעסיק הנטל להראות שההעברה לא נבעה ממנה,</w:t>
      </w:r>
      <w:r>
        <w:rPr>
          <w:vertAlign w:val="superscript"/>
        </w:rPr>
        <w:footnoteReference w:id="17"/>
      </w:r>
      <w:r>
        <w:rPr>
          <w:sz w:val="24"/>
          <w:rtl/>
          <w:szCs w:val="24"/>
        </w:rPr>
        <w:t xml:space="preserve"> ובית הדין רשאי לפסוק פיצוי של עד 120,000 ש"ח ללא הוכחת נזק.</w:t>
      </w:r>
      <w:r>
        <w:rPr>
          <w:vertAlign w:val="superscript"/>
        </w:rPr>
        <w:footnoteReference w:id="18"/>
      </w:r>
      <w:r>
        <w:rPr>
          <w:sz w:val="24"/>
          <w:rtl/>
          <w:szCs w:val="24"/>
        </w:rPr>
        <w:t xml:space="preserve"> לצד ההליך האזרחי פתוחים בפני אורי גם הליך משמעתי, תלונה פלילית ותביעה נגד המעסיק.</w:t>
      </w:r>
    </w:p>
    <w:p>
      <w:pPr>
        <w:bidi/>
        <w:spacing w:before="120" w:after="0"/>
        <w:jc w:val="both"/>
      </w:pPr>
      <w:r>
        <w:rPr>
          <w:b/>
          <w:sz w:val="24"/>
          <w:rtl/>
          <w:szCs w:val="24"/>
          <w:bCs/>
        </w:rPr>
        <w:t>3. הרעת תנאים והתפטרות בדין מפוטר</w:t>
      </w:r>
    </w:p>
    <w:p>
      <w:pPr>
        <w:bidi/>
        <w:spacing w:before="0" w:after="0"/>
        <w:jc w:val="both"/>
      </w:pPr>
      <w:r>
        <w:rPr>
          <w:sz w:val="24"/>
          <w:rtl/>
          <w:szCs w:val="24"/>
        </w:rPr>
        <w:t xml:space="preserve">לפי </w:t>
      </w:r>
      <w:r>
        <w:rPr>
          <w:b/>
          <w:sz w:val="24"/>
          <w:rtl/>
          <w:szCs w:val="24"/>
          <w:bCs/>
        </w:rPr>
        <w:t>הלכת מילפלדר</w:t>
      </w:r>
      <w:r>
        <w:rPr>
          <w:sz w:val="24"/>
          <w:rtl/>
          <w:szCs w:val="24"/>
        </w:rPr>
        <w:t xml:space="preserve"> מעסיק אינו רשאי לשנות את חוזה העבודה באופן חד-צדדי.</w:t>
      </w:r>
      <w:r>
        <w:rPr>
          <w:vertAlign w:val="superscript"/>
        </w:rPr>
        <w:footnoteReference w:id="19"/>
      </w:r>
      <w:r>
        <w:rPr>
          <w:sz w:val="24"/>
          <w:rtl/>
          <w:szCs w:val="24"/>
        </w:rPr>
        <w:t xml:space="preserve"> הפררוגטיבה הניהולית מתירה לו לשנות נהלי עבודה, כמו חובת השתתפות בישיבות, אך שינוי הפוגע במעמד העובד הוא </w:t>
      </w:r>
      <w:r>
        <w:rPr>
          <w:b/>
          <w:sz w:val="24"/>
          <w:rtl/>
          <w:szCs w:val="24"/>
          <w:bCs/>
        </w:rPr>
        <w:t>הרעת תנאים</w:t>
      </w:r>
      <w:r>
        <w:rPr>
          <w:sz w:val="24"/>
          <w:rtl/>
          <w:szCs w:val="24"/>
        </w:rPr>
        <w:t>.</w:t>
      </w:r>
      <w:r>
        <w:rPr>
          <w:vertAlign w:val="superscript"/>
        </w:rPr>
        <w:footnoteReference w:id="20"/>
      </w:r>
      <w:r>
        <w:rPr>
          <w:sz w:val="24"/>
          <w:rtl/>
          <w:szCs w:val="24"/>
        </w:rPr>
        <w:t xml:space="preserve"> הוצאתו של אורי מישיבות הקריאטיב לבדה מצויה בתחום הפררוגטיבה, אך העברתו מהפרויקטים המרכזיים לעריכה טכנית, עם פחות אחריות, פגעה במעמדו אף ששכרו לא השתנה. גם הפררוגטיבה כפופה לתום לב, ותזמון ההעברה מעורר ספק בכך. שינוי ב"תיאור עיקרי התפקיד" מחייב הודעה בכתב בתוך 30 יום, ובהיעדרה הנטל עובר למעסיק.</w:t>
      </w:r>
      <w:r>
        <w:rPr>
          <w:vertAlign w:val="superscript"/>
        </w:rPr>
        <w:footnoteReference w:id="21"/>
      </w:r>
    </w:p>
    <w:p>
      <w:pPr>
        <w:bidi/>
        <w:spacing w:before="0" w:after="0"/>
        <w:jc w:val="both"/>
      </w:pPr>
      <w:r>
        <w:rPr>
          <w:sz w:val="24"/>
          <w:rtl/>
          <w:szCs w:val="24"/>
        </w:rPr>
        <w:t xml:space="preserve">לפי חוק פיצויי פיטורים, התפטרות מחמת </w:t>
      </w:r>
      <w:r>
        <w:rPr>
          <w:b/>
          <w:sz w:val="24"/>
          <w:rtl/>
          <w:szCs w:val="24"/>
          <w:bCs/>
        </w:rPr>
        <w:t>הרעה מוחשית</w:t>
      </w:r>
      <w:r>
        <w:rPr>
          <w:sz w:val="24"/>
          <w:rtl/>
          <w:szCs w:val="24"/>
        </w:rPr>
        <w:t xml:space="preserve"> בתנאי העבודה, או מחמת "נסיבות אחרות שביחסי עבודה" שבהן אין לדרוש מהעובד להמשיך בעבודתו, נחשבת כפיטורים "לעניין חוק זה".</w:t>
      </w:r>
      <w:r>
        <w:rPr>
          <w:vertAlign w:val="superscript"/>
        </w:rPr>
        <w:footnoteReference w:id="22"/>
      </w:r>
      <w:r>
        <w:rPr>
          <w:sz w:val="24"/>
          <w:rtl/>
          <w:szCs w:val="24"/>
        </w:rPr>
        <w:t xml:space="preserve"> הזכאות עצמה מותנית בשנת עבודה אחת ברציפות אצל אותו מעסיק,</w:t>
      </w:r>
      <w:r>
        <w:rPr>
          <w:vertAlign w:val="superscript"/>
        </w:rPr>
        <w:footnoteReference w:id="23"/>
      </w:r>
      <w:r>
        <w:rPr>
          <w:sz w:val="24"/>
          <w:rtl/>
          <w:szCs w:val="24"/>
        </w:rPr>
        <w:t xml:space="preserve"> ותקופת העסקתו של אורי אינה ידועה.</w:t>
      </w:r>
    </w:p>
    <w:p>
      <w:pPr>
        <w:bidi/>
        <w:spacing w:before="0" w:after="0"/>
        <w:jc w:val="both"/>
      </w:pPr>
      <w:r>
        <w:rPr>
          <w:sz w:val="24"/>
          <w:rtl/>
          <w:szCs w:val="24"/>
        </w:rPr>
        <w:t xml:space="preserve">כדי לממש זכות זו, על העובד לתת למעסיק </w:t>
      </w:r>
      <w:r>
        <w:rPr>
          <w:b/>
          <w:sz w:val="24"/>
          <w:rtl/>
          <w:szCs w:val="24"/>
          <w:bCs/>
        </w:rPr>
        <w:t>התראה</w:t>
      </w:r>
      <w:r>
        <w:rPr>
          <w:sz w:val="24"/>
          <w:rtl/>
          <w:szCs w:val="24"/>
        </w:rPr>
        <w:t xml:space="preserve"> והזדמנות לתקן, לפעול בתום לב ובלי שיהוי, שכן שיהוי עלול להתפרש כהסכמה בהתנהגות. בעניין גולן</w:t>
      </w:r>
      <w:r>
        <w:rPr>
          <w:vertAlign w:val="superscript"/>
        </w:rPr>
        <w:footnoteReference w:id="24"/>
      </w:r>
      <w:r>
        <w:rPr>
          <w:sz w:val="24"/>
          <w:rtl/>
          <w:szCs w:val="24"/>
        </w:rPr>
        <w:t xml:space="preserve"> הכיר בית הדין בהרעת תנאים, אך קבע שעובד שהמשיך לעבוד שמונה חודשים בתנאים החדשים הסכים להם בהתנהגותו.</w:t>
      </w:r>
    </w:p>
    <w:p>
      <w:pPr>
        <w:bidi/>
        <w:spacing w:before="0" w:after="0"/>
        <w:jc w:val="both"/>
      </w:pPr>
      <w:r>
        <w:rPr>
          <w:sz w:val="24"/>
          <w:rtl/>
          <w:szCs w:val="24"/>
        </w:rPr>
        <w:t>אורי לא מחה ולא התריע, ועבד ארבעה חודשים במתכונת החדשה, בשונה מהעובד בעניין סלמאן, שהועבר לתפקיד אחר ומחה בכתב על הפחתת שכרו לפני שהתפטר.</w:t>
      </w:r>
      <w:r>
        <w:rPr>
          <w:vertAlign w:val="superscript"/>
        </w:rPr>
        <w:footnoteReference w:id="25"/>
      </w:r>
      <w:r>
        <w:rPr>
          <w:sz w:val="24"/>
          <w:rtl/>
          <w:szCs w:val="24"/>
        </w:rPr>
        <w:t xml:space="preserve"> שתיקתו מלמדת על השלמה. גם חלופת "הנסיבות האחרות" אינה מסייעת לו: נדרשות נסיבות שלפי אמות מידה אובייקטיביות אין לדרוש מהעובד להישאר בהן, כמו השפלה או פגיעה, ולא די באי־שביעות רצון. השיחות הסתיימו חודשים לפני ההתפטרות.</w:t>
      </w:r>
    </w:p>
    <w:p>
      <w:pPr>
        <w:bidi/>
        <w:spacing w:before="0" w:after="0"/>
        <w:jc w:val="both"/>
      </w:pPr>
      <w:r>
        <w:rPr>
          <w:b/>
          <w:sz w:val="24"/>
          <w:rtl/>
          <w:szCs w:val="24"/>
          <w:bCs/>
        </w:rPr>
        <w:t>לסיכום</w:t>
      </w:r>
      <w:r>
        <w:rPr>
          <w:sz w:val="24"/>
          <w:rtl/>
          <w:szCs w:val="24"/>
        </w:rPr>
        <w:t>, טענת ההטרדה המינית חלשה, טענת ההתנכלות חזקה יותר, וטענת ההתפטרות בדין מפוטר נכשלת בשל היעדר התראה ושיהוי.</w:t>
      </w:r>
    </w:p>
    <w:p>
      <w:pPr>
        <w:pageBreakBefore/>
        <w:bidi/>
        <w:spacing w:before="0" w:after="120"/>
        <w:jc w:val="center"/>
      </w:pPr>
      <w:r>
        <w:rPr>
          <w:b/>
          <w:sz w:val="28"/>
          <w:rtl/>
          <w:szCs w:val="28"/>
          <w:bCs/>
        </w:rPr>
        <w:t>רשימת מקורות</w:t>
      </w:r>
    </w:p>
    <w:p>
      <w:pPr>
        <w:bidi/>
        <w:spacing w:before="120" w:after="0"/>
        <w:jc w:val="both"/>
      </w:pPr>
      <w:r>
        <w:rPr>
          <w:b/>
          <w:sz w:val="24"/>
          <w:rtl/>
          <w:szCs w:val="24"/>
          <w:bCs/>
        </w:rPr>
        <w:t>חקיקה</w:t>
      </w:r>
    </w:p>
    <w:p>
      <w:pPr>
        <w:bidi/>
        <w:spacing w:before="0" w:after="0"/>
        <w:jc w:val="both"/>
      </w:pPr>
      <w:r>
        <w:rPr>
          <w:sz w:val="24"/>
          <w:rtl/>
          <w:szCs w:val="24"/>
        </w:rPr>
        <w:t>חוק הודעה לעובד ולמועמד לעבודה (תנאי עבודה והליכי מיון וקבלה לעבודה), התשס"ב–2002.</w:t>
      </w:r>
    </w:p>
    <w:p>
      <w:pPr>
        <w:bidi/>
        <w:spacing w:before="0" w:after="0"/>
        <w:jc w:val="both"/>
      </w:pPr>
      <w:r>
        <w:rPr>
          <w:sz w:val="24"/>
          <w:rtl/>
          <w:szCs w:val="24"/>
        </w:rPr>
        <w:t>חוק הסכמים קיבוציים, התשי"ז–1957.</w:t>
      </w:r>
    </w:p>
    <w:p>
      <w:pPr>
        <w:bidi/>
        <w:spacing w:before="0" w:after="0"/>
        <w:jc w:val="both"/>
      </w:pPr>
      <w:r>
        <w:rPr>
          <w:sz w:val="24"/>
          <w:rtl/>
          <w:szCs w:val="24"/>
        </w:rPr>
        <w:t>חוק למניעת הטרדה מינית, התשנ"ח–1998.</w:t>
      </w:r>
    </w:p>
    <w:p>
      <w:pPr>
        <w:bidi/>
        <w:spacing w:before="0" w:after="0"/>
        <w:jc w:val="both"/>
      </w:pPr>
      <w:r>
        <w:rPr>
          <w:sz w:val="24"/>
          <w:rtl/>
          <w:szCs w:val="24"/>
        </w:rPr>
        <w:t>חוק פיצויי פיטורים, התשכ"ג–1963.</w:t>
      </w:r>
    </w:p>
    <w:p>
      <w:pPr>
        <w:bidi/>
        <w:spacing w:before="0" w:after="0"/>
        <w:jc w:val="both"/>
      </w:pPr>
      <w:r>
        <w:rPr>
          <w:sz w:val="24"/>
          <w:rtl/>
          <w:szCs w:val="24"/>
        </w:rPr>
        <w:t>חוק שוויון ההזדמנויות בעבודה, התשמ"ח–1988.</w:t>
      </w:r>
    </w:p>
    <w:p>
      <w:pPr>
        <w:bidi/>
        <w:spacing w:before="0" w:after="0"/>
        <w:jc w:val="both"/>
      </w:pPr>
      <w:r>
        <w:rPr>
          <w:sz w:val="24"/>
          <w:rtl/>
          <w:szCs w:val="24"/>
        </w:rPr>
        <w:t>תקנות למניעת הטרדה מינית (חובות מעסיק), התשנ"ח–1998.</w:t>
      </w:r>
    </w:p>
    <w:p>
      <w:pPr>
        <w:bidi/>
        <w:spacing w:before="120" w:after="0"/>
        <w:jc w:val="both"/>
      </w:pPr>
      <w:r>
        <w:rPr>
          <w:b/>
          <w:sz w:val="24"/>
          <w:rtl/>
          <w:szCs w:val="24"/>
          <w:bCs/>
        </w:rPr>
        <w:t>פסיקה</w:t>
      </w:r>
    </w:p>
    <w:p>
      <w:pPr>
        <w:bidi/>
        <w:spacing w:before="0" w:after="0"/>
        <w:jc w:val="both"/>
      </w:pPr>
      <w:r>
        <w:rPr>
          <w:sz w:val="24"/>
          <w:rtl/>
          <w:szCs w:val="24"/>
        </w:rPr>
        <w:t>בג"ץ 239/83 מילפלדר נ' בית הדין הארצי לעבודה, פ"ד מא(2) 210 (1987).</w:t>
      </w:r>
    </w:p>
    <w:p>
      <w:pPr>
        <w:bidi/>
        <w:spacing w:before="0" w:after="0"/>
        <w:jc w:val="both"/>
      </w:pPr>
      <w:r>
        <w:rPr>
          <w:sz w:val="24"/>
          <w:rtl/>
          <w:szCs w:val="24"/>
        </w:rPr>
        <w:t>בג"ץ 7029/95 הסתדרות העובדים הכללית החדשה נ' בית הדין הארצי לעבודה, פ"ד נא(2) 63 (1997).</w:t>
      </w:r>
    </w:p>
    <w:p>
      <w:pPr>
        <w:bidi/>
        <w:spacing w:before="0" w:after="0"/>
        <w:jc w:val="both"/>
      </w:pPr>
      <w:r>
        <w:rPr>
          <w:sz w:val="24"/>
          <w:rtl/>
          <w:szCs w:val="24"/>
        </w:rPr>
        <w:t>עס"ק (ארצי) 6298-03-25 הסתדרות העובדים הכללית החדשה – האגף להתאגדות עובדים נ' ארגון עובדי הפיתוח והשיווק בנוקיה ישראל (נבו 10.6.2025).</w:t>
      </w:r>
    </w:p>
    <w:p>
      <w:pPr>
        <w:bidi/>
        <w:spacing w:before="0" w:after="0"/>
        <w:jc w:val="both"/>
      </w:pPr>
      <w:r>
        <w:rPr>
          <w:sz w:val="24"/>
          <w:rtl/>
          <w:szCs w:val="24"/>
        </w:rPr>
        <w:t>עס"ק (ארצי) 25476-09-12 הסתדרות העובדים הכללית החדשה נ' פלאפון תקשורת בע"מ (נבו 2.1.2013).</w:t>
      </w:r>
    </w:p>
    <w:p>
      <w:pPr>
        <w:bidi/>
        <w:spacing w:before="0" w:after="0"/>
        <w:jc w:val="both"/>
      </w:pPr>
      <w:r>
        <w:rPr>
          <w:sz w:val="24"/>
          <w:rtl/>
          <w:szCs w:val="24"/>
        </w:rPr>
        <w:t>עש"ם 2203/05 מדר נ' נציבות שירות המדינה (נבו 21.7.2005).</w:t>
      </w:r>
    </w:p>
    <w:p>
      <w:pPr>
        <w:bidi/>
        <w:spacing w:before="0" w:after="0"/>
        <w:jc w:val="both"/>
      </w:pPr>
      <w:r>
        <w:rPr>
          <w:sz w:val="24"/>
          <w:rtl/>
          <w:szCs w:val="24"/>
        </w:rPr>
        <w:t>תב"ע (ארצי) נד/86-3 יוחנן גולן נ' אי.אל.די. בע"מ.</w:t>
      </w:r>
    </w:p>
    <w:p>
      <w:pPr>
        <w:bidi/>
        <w:spacing w:before="0" w:after="0"/>
        <w:jc w:val="both"/>
      </w:pPr>
      <w:r>
        <w:rPr>
          <w:sz w:val="24"/>
          <w:rtl/>
          <w:szCs w:val="24"/>
        </w:rPr>
        <w:t>ע"ע (ארצי) 28475-03-20 סלמאן נ' אקובג בע"מ (נבו 7.12.2020).</w:t>
      </w:r>
    </w:p>
    <w:p>
      <w:pPr>
        <w:bidi/>
        <w:spacing w:before="120" w:after="0"/>
        <w:jc w:val="both"/>
      </w:pPr>
      <w:r>
        <w:rPr>
          <w:b/>
          <w:sz w:val="24"/>
          <w:rtl/>
          <w:szCs w:val="24"/>
          <w:bCs/>
        </w:rPr>
        <w:t>ספרות וחומרי הקורס</w:t>
      </w:r>
    </w:p>
    <w:p>
      <w:pPr>
        <w:bidi/>
        <w:spacing w:before="0" w:after="0"/>
        <w:jc w:val="both"/>
      </w:pPr>
      <w:r>
        <w:rPr>
          <w:sz w:val="24"/>
          <w:rtl/>
          <w:szCs w:val="24"/>
        </w:rPr>
        <w:t>רות בן-ישראל דיני עבודה כרך א 48-32 (2002).</w:t>
      </w:r>
    </w:p>
    <w:p>
      <w:pPr>
        <w:bidi/>
        <w:spacing w:before="0" w:after="0"/>
        <w:jc w:val="both"/>
      </w:pPr>
      <w:r>
        <w:rPr>
          <w:sz w:val="24"/>
          <w:rtl/>
          <w:szCs w:val="24"/>
        </w:rPr>
        <w:t>גליה הילדסהימר "היבטים משפטיים ואתיים בייעוץ ופיתוח ארגוני – מבוא" מצגת הקורס היבטים משפטיים ואתיים בייעוץ ופיתוח ארגוני, המרכז האקדמי פרס (2026).</w:t>
      </w:r>
    </w:p>
    <w:p>
      <w:pPr>
        <w:bidi/>
        <w:spacing w:before="0" w:after="0"/>
        <w:jc w:val="both"/>
      </w:pPr>
      <w:r>
        <w:rPr>
          <w:sz w:val="24"/>
          <w:rtl/>
          <w:szCs w:val="24"/>
        </w:rPr>
        <w:t>גליה הילדסהימר "התארגנויות עובדים" מצגת הקורס היבטים משפטיים ואתיים בייעוץ ופיתוח ארגוני, המרכז האקדמי פרס (2026).</w:t>
      </w:r>
    </w:p>
    <w:p>
      <w:pPr>
        <w:bidi/>
        <w:spacing w:before="0" w:after="0"/>
        <w:jc w:val="both"/>
      </w:pPr>
      <w:r>
        <w:rPr>
          <w:sz w:val="24"/>
          <w:rtl/>
          <w:szCs w:val="24"/>
        </w:rPr>
        <w:t>גליה הילדסהימר "החוק למניעת הטרדה מינית, חלקים א'-ב'" מצגת הקורס היבטים משפטיים ואתיים בייעוץ ופיתוח ארגוני, המרכז האקדמי פרס (2026).</w:t>
      </w:r>
    </w:p>
    <w:p>
      <w:pPr>
        <w:bidi/>
        <w:spacing w:before="0" w:after="0"/>
        <w:jc w:val="both"/>
      </w:pPr>
      <w:r>
        <w:rPr>
          <w:sz w:val="24"/>
          <w:rtl/>
          <w:szCs w:val="24"/>
        </w:rPr>
        <w:t>גליה הילדסהימר "חוזה עבודה אישי ומניעת הרעת תנאים, חלקים א'-ב'" מצגת הקורס היבטים משפטיים ואתיים בייעוץ ופיתוח ארגוני, המרכז האקדמי פרס (2026).</w:t>
      </w:r>
    </w:p>
    <w:sectPr w:rsidR="00FC693F" w:rsidRPr="0006063C" w:rsidSect="00034616">
      <w:pgSz w:w="11906" w:h="16838"/>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bidi/>
        <w:spacing w:before="0" w:after="0" w:line="240" w:lineRule="auto"/>
        <w:jc w:val="both"/>
      </w:pPr>
      <w:r>
        <w:rPr>
          <w:vertAlign w:val="superscript"/>
          <w:sz w:val="20"/>
        </w:rPr>
        <w:footnoteRef/>
      </w:r>
      <w:r>
        <w:rPr>
          <w:sz w:val="20"/>
        </w:rPr>
        <w:t xml:space="preserve"> </w:t>
      </w:r>
      <w:r>
        <w:rPr>
          <w:rtl/>
          <w:sz w:val="20"/>
          <w:szCs w:val="20"/>
        </w:rPr>
        <w:t xml:space="preserve">רות בן-ישראל דיני עבודה כרך א 48-32 (2002); גליה הילדסהימר "התארגנויות עובדים" מצגת הקורס היבטים משפטיים ואתיים בייעוץ ופיתוח ארגוני, המרכז האקדמי פרס (2026).</w:t>
      </w:r>
    </w:p>
  </w:footnote>
  <w:footnote w:id="2">
    <w:p>
      <w:pPr>
        <w:bidi/>
        <w:spacing w:before="0" w:after="0" w:line="240" w:lineRule="auto"/>
        <w:jc w:val="both"/>
      </w:pPr>
      <w:r>
        <w:rPr>
          <w:vertAlign w:val="superscript"/>
          <w:sz w:val="20"/>
        </w:rPr>
        <w:footnoteRef/>
      </w:r>
      <w:r>
        <w:rPr>
          <w:sz w:val="20"/>
        </w:rPr>
        <w:t xml:space="preserve"> </w:t>
      </w:r>
      <w:r>
        <w:rPr>
          <w:rtl/>
          <w:sz w:val="20"/>
          <w:szCs w:val="20"/>
        </w:rPr>
        <w:t xml:space="preserve">ס' 33ח לחוק הסכמים קיבוציים, התשי"ז–1957 (להלן: חוק הסכמים קיבוציים).</w:t>
      </w:r>
    </w:p>
  </w:footnote>
  <w:footnote w:id="3">
    <w:p>
      <w:pPr>
        <w:bidi/>
        <w:spacing w:before="0" w:after="0" w:line="240" w:lineRule="auto"/>
        <w:jc w:val="both"/>
      </w:pPr>
      <w:r>
        <w:rPr>
          <w:vertAlign w:val="superscript"/>
          <w:sz w:val="20"/>
        </w:rPr>
        <w:footnoteRef/>
      </w:r>
      <w:r>
        <w:rPr>
          <w:sz w:val="20"/>
        </w:rPr>
        <w:t xml:space="preserve"> </w:t>
      </w:r>
      <w:r>
        <w:rPr>
          <w:rtl/>
          <w:sz w:val="20"/>
          <w:szCs w:val="20"/>
        </w:rPr>
        <w:t xml:space="preserve">בג"ץ 7029/95 הסתדרות העובדים הכללית החדשה נ' בית הדין הארצי לעבודה, פ"ד נא(2) 63 (1997) (להלן: עניין עמית).</w:t>
      </w:r>
    </w:p>
  </w:footnote>
  <w:footnote w:id="4">
    <w:p>
      <w:pPr>
        <w:bidi/>
        <w:spacing w:before="0" w:after="0" w:line="240" w:lineRule="auto"/>
        <w:jc w:val="both"/>
      </w:pPr>
      <w:r>
        <w:rPr>
          <w:vertAlign w:val="superscript"/>
          <w:sz w:val="20"/>
        </w:rPr>
        <w:footnoteRef/>
      </w:r>
      <w:r>
        <w:rPr>
          <w:sz w:val="20"/>
        </w:rPr>
        <w:t xml:space="preserve"> </w:t>
      </w:r>
      <w:r>
        <w:rPr>
          <w:rtl/>
          <w:sz w:val="20"/>
          <w:szCs w:val="20"/>
        </w:rPr>
        <w:t xml:space="preserve">גליה הילדסהימר "היבטים משפטיים ואתיים בייעוץ ופיתוח ארגוני – מבוא" מצגת הקורס היבטים משפטיים ואתיים בייעוץ ופיתוח ארגוני, המרכז האקדמי פרס (2026); ס' 19-20 לחוק הסכמים קיבוציים.</w:t>
      </w:r>
    </w:p>
  </w:footnote>
  <w:footnote w:id="5">
    <w:p>
      <w:pPr>
        <w:bidi/>
        <w:spacing w:before="0" w:after="0" w:line="240" w:lineRule="auto"/>
        <w:jc w:val="both"/>
      </w:pPr>
      <w:r>
        <w:rPr>
          <w:vertAlign w:val="superscript"/>
          <w:sz w:val="20"/>
        </w:rPr>
        <w:footnoteRef/>
      </w:r>
      <w:r>
        <w:rPr>
          <w:sz w:val="20"/>
        </w:rPr>
        <w:t xml:space="preserve"> </w:t>
      </w:r>
      <w:r>
        <w:rPr>
          <w:rtl/>
          <w:sz w:val="20"/>
          <w:szCs w:val="20"/>
        </w:rPr>
        <w:t xml:space="preserve">עס"ק (ארצי) 6298-03-25 הסתדרות העובדים הכללית החדשה – האגף להתאגדות עובדים נ' ארגון עובדי הפיתוח והשיווק בנוקיה ישראל (נבו 10.6.2025) (להלן: עניין נוקיה), פס' 6, 41 ו-44.</w:t>
      </w:r>
    </w:p>
  </w:footnote>
  <w:footnote w:id="6">
    <w:p>
      <w:pPr>
        <w:bidi/>
        <w:spacing w:before="0" w:after="0" w:line="240" w:lineRule="auto"/>
        <w:jc w:val="both"/>
      </w:pPr>
      <w:r>
        <w:rPr>
          <w:vertAlign w:val="superscript"/>
          <w:sz w:val="20"/>
        </w:rPr>
        <w:footnoteRef/>
      </w:r>
      <w:r>
        <w:rPr>
          <w:sz w:val="20"/>
        </w:rPr>
        <w:t xml:space="preserve"> </w:t>
      </w:r>
      <w:r>
        <w:rPr>
          <w:rtl/>
          <w:sz w:val="20"/>
          <w:szCs w:val="20"/>
        </w:rPr>
        <w:t xml:space="preserve">שם, פס' 50-51.</w:t>
      </w:r>
    </w:p>
  </w:footnote>
  <w:footnote w:id="7">
    <w:p>
      <w:pPr>
        <w:bidi/>
        <w:spacing w:before="0" w:after="0" w:line="240" w:lineRule="auto"/>
        <w:jc w:val="both"/>
      </w:pPr>
      <w:r>
        <w:rPr>
          <w:vertAlign w:val="superscript"/>
          <w:sz w:val="20"/>
        </w:rPr>
        <w:footnoteRef/>
      </w:r>
      <w:r>
        <w:rPr>
          <w:sz w:val="20"/>
        </w:rPr>
        <w:t xml:space="preserve"> </w:t>
      </w:r>
      <w:r>
        <w:rPr>
          <w:rtl/>
          <w:sz w:val="20"/>
          <w:szCs w:val="20"/>
        </w:rPr>
        <w:t xml:space="preserve">שם, פס' 47.</w:t>
      </w:r>
    </w:p>
  </w:footnote>
  <w:footnote w:id="8">
    <w:p>
      <w:pPr>
        <w:bidi/>
        <w:spacing w:before="0" w:after="0" w:line="240" w:lineRule="auto"/>
        <w:jc w:val="both"/>
      </w:pPr>
      <w:r>
        <w:rPr>
          <w:vertAlign w:val="superscript"/>
          <w:sz w:val="20"/>
        </w:rPr>
        <w:footnoteRef/>
      </w:r>
      <w:r>
        <w:rPr>
          <w:sz w:val="20"/>
        </w:rPr>
        <w:t xml:space="preserve"> </w:t>
      </w:r>
      <w:r>
        <w:rPr>
          <w:rtl/>
          <w:sz w:val="20"/>
          <w:szCs w:val="20"/>
        </w:rPr>
        <w:t xml:space="preserve">שם, פס' 43.</w:t>
      </w:r>
    </w:p>
  </w:footnote>
  <w:footnote w:id="9">
    <w:p>
      <w:pPr>
        <w:bidi/>
        <w:spacing w:before="0" w:after="0" w:line="240" w:lineRule="auto"/>
        <w:jc w:val="both"/>
      </w:pPr>
      <w:r>
        <w:rPr>
          <w:vertAlign w:val="superscript"/>
          <w:sz w:val="20"/>
        </w:rPr>
        <w:footnoteRef/>
      </w:r>
      <w:r>
        <w:rPr>
          <w:sz w:val="20"/>
        </w:rPr>
        <w:t xml:space="preserve"> </w:t>
      </w:r>
      <w:r>
        <w:rPr>
          <w:rtl/>
          <w:sz w:val="20"/>
          <w:szCs w:val="20"/>
        </w:rPr>
        <w:t xml:space="preserve">שם, פס' 9.</w:t>
      </w:r>
    </w:p>
  </w:footnote>
  <w:footnote w:id="10">
    <w:p>
      <w:pPr>
        <w:bidi/>
        <w:spacing w:before="0" w:after="0" w:line="240" w:lineRule="auto"/>
        <w:jc w:val="both"/>
      </w:pPr>
      <w:r>
        <w:rPr>
          <w:vertAlign w:val="superscript"/>
          <w:sz w:val="20"/>
        </w:rPr>
        <w:footnoteRef/>
      </w:r>
      <w:r>
        <w:rPr>
          <w:sz w:val="20"/>
        </w:rPr>
        <w:t xml:space="preserve"> </w:t>
      </w:r>
      <w:r>
        <w:rPr>
          <w:rtl/>
          <w:sz w:val="20"/>
          <w:szCs w:val="20"/>
        </w:rPr>
        <w:t xml:space="preserve">שם, פס' 18.</w:t>
      </w:r>
    </w:p>
  </w:footnote>
  <w:footnote w:id="11">
    <w:p>
      <w:pPr>
        <w:bidi/>
        <w:spacing w:before="0" w:after="0" w:line="240" w:lineRule="auto"/>
        <w:jc w:val="both"/>
      </w:pPr>
      <w:r>
        <w:rPr>
          <w:vertAlign w:val="superscript"/>
          <w:sz w:val="20"/>
        </w:rPr>
        <w:footnoteRef/>
      </w:r>
      <w:r>
        <w:rPr>
          <w:sz w:val="20"/>
        </w:rPr>
        <w:t xml:space="preserve"> </w:t>
      </w:r>
      <w:r>
        <w:rPr>
          <w:rtl/>
          <w:sz w:val="20"/>
          <w:szCs w:val="20"/>
        </w:rPr>
        <w:t xml:space="preserve">עס"ק (ארצי) 25476-09-12 הסתדרות העובדים הכללית החדשה נ' פלאפון תקשורת בע"מ (נבו 2.1.2013) (להלן: עניין פלאפון).</w:t>
      </w:r>
    </w:p>
  </w:footnote>
  <w:footnote w:id="12">
    <w:p>
      <w:pPr>
        <w:bidi/>
        <w:spacing w:before="0" w:after="0" w:line="240" w:lineRule="auto"/>
        <w:jc w:val="both"/>
      </w:pPr>
      <w:r>
        <w:rPr>
          <w:vertAlign w:val="superscript"/>
          <w:sz w:val="20"/>
        </w:rPr>
        <w:footnoteRef/>
      </w:r>
      <w:r>
        <w:rPr>
          <w:sz w:val="20"/>
        </w:rPr>
        <w:t xml:space="preserve"> </w:t>
      </w:r>
      <w:r>
        <w:rPr>
          <w:rtl/>
          <w:sz w:val="20"/>
          <w:szCs w:val="20"/>
        </w:rPr>
        <w:t xml:space="preserve">ס' 1 לחוק למניעת הטרדה מינית, התשנ"ח–1998 (להלן: החוק למניעת הטרדה מינית); גליה הילדסהימר "החוק למניעת הטרדה מינית, חלקים א'-ב'" מצגת הקורס היבטים משפטיים ואתיים בייעוץ ופיתוח ארגוני, המרכז האקדמי פרס (2026).</w:t>
      </w:r>
    </w:p>
  </w:footnote>
  <w:footnote w:id="13">
    <w:p>
      <w:pPr>
        <w:bidi/>
        <w:spacing w:before="0" w:after="0" w:line="240" w:lineRule="auto"/>
        <w:jc w:val="both"/>
      </w:pPr>
      <w:r>
        <w:rPr>
          <w:vertAlign w:val="superscript"/>
          <w:sz w:val="20"/>
        </w:rPr>
        <w:footnoteRef/>
      </w:r>
      <w:r>
        <w:rPr>
          <w:sz w:val="20"/>
        </w:rPr>
        <w:t xml:space="preserve"> </w:t>
      </w:r>
      <w:r>
        <w:rPr>
          <w:rtl/>
          <w:sz w:val="20"/>
          <w:szCs w:val="20"/>
        </w:rPr>
        <w:t xml:space="preserve">ס' 2 לחוק למניעת הטרדה מינית (הגדרות "הראה" ו"מסגרת יחסי עבודה").</w:t>
      </w:r>
    </w:p>
  </w:footnote>
  <w:footnote w:id="14">
    <w:p>
      <w:pPr>
        <w:bidi/>
        <w:spacing w:before="0" w:after="0" w:line="240" w:lineRule="auto"/>
        <w:jc w:val="both"/>
      </w:pPr>
      <w:r>
        <w:rPr>
          <w:vertAlign w:val="superscript"/>
          <w:sz w:val="20"/>
        </w:rPr>
        <w:footnoteRef/>
      </w:r>
      <w:r>
        <w:rPr>
          <w:sz w:val="20"/>
        </w:rPr>
        <w:t xml:space="preserve"> </w:t>
      </w:r>
      <w:r>
        <w:rPr>
          <w:rtl/>
          <w:sz w:val="20"/>
          <w:szCs w:val="20"/>
        </w:rPr>
        <w:t xml:space="preserve">עש"ם 2203/05 מדר נ' נציבות שירות המדינה (נבו 21.7.2005) (להלן: עניין מדר).</w:t>
      </w:r>
    </w:p>
  </w:footnote>
  <w:footnote w:id="15">
    <w:p>
      <w:pPr>
        <w:bidi/>
        <w:spacing w:before="0" w:after="0" w:line="240" w:lineRule="auto"/>
        <w:jc w:val="both"/>
      </w:pPr>
      <w:r>
        <w:rPr>
          <w:vertAlign w:val="superscript"/>
          <w:sz w:val="20"/>
        </w:rPr>
        <w:footnoteRef/>
      </w:r>
      <w:r>
        <w:rPr>
          <w:sz w:val="20"/>
        </w:rPr>
        <w:t xml:space="preserve"> </w:t>
      </w:r>
      <w:r>
        <w:rPr>
          <w:rtl/>
          <w:sz w:val="20"/>
          <w:szCs w:val="20"/>
        </w:rPr>
        <w:t xml:space="preserve">תק' 2(ג), 4, 6(ט) ו-8 לתקנות למניעת הטרדה מינית (חובות מעסיק), התשנ"ח–1998.</w:t>
      </w:r>
    </w:p>
  </w:footnote>
  <w:footnote w:id="16">
    <w:p>
      <w:pPr>
        <w:bidi/>
        <w:spacing w:before="0" w:after="0" w:line="240" w:lineRule="auto"/>
        <w:jc w:val="both"/>
      </w:pPr>
      <w:r>
        <w:rPr>
          <w:vertAlign w:val="superscript"/>
          <w:sz w:val="20"/>
        </w:rPr>
        <w:footnoteRef/>
      </w:r>
      <w:r>
        <w:rPr>
          <w:sz w:val="20"/>
        </w:rPr>
        <w:t xml:space="preserve"> </w:t>
      </w:r>
      <w:r>
        <w:rPr>
          <w:rtl/>
          <w:sz w:val="20"/>
          <w:szCs w:val="20"/>
        </w:rPr>
        <w:t xml:space="preserve">ס' 7(ו) לחוק למניעת הטרדה מינית; ס' 7(א) לחוק שוויון ההזדמנויות בעבודה, התשמ"ח–1988.</w:t>
      </w:r>
    </w:p>
  </w:footnote>
  <w:footnote w:id="17">
    <w:p>
      <w:pPr>
        <w:bidi/>
        <w:spacing w:before="0" w:after="0" w:line="240" w:lineRule="auto"/>
        <w:jc w:val="both"/>
      </w:pPr>
      <w:r>
        <w:rPr>
          <w:vertAlign w:val="superscript"/>
          <w:sz w:val="20"/>
        </w:rPr>
        <w:footnoteRef/>
      </w:r>
      <w:r>
        <w:rPr>
          <w:sz w:val="20"/>
        </w:rPr>
        <w:t xml:space="preserve"> </w:t>
      </w:r>
      <w:r>
        <w:rPr>
          <w:rtl/>
          <w:sz w:val="20"/>
          <w:szCs w:val="20"/>
        </w:rPr>
        <w:t xml:space="preserve">ס' 6א לחוק למניעת הטרדה מינית.</w:t>
      </w:r>
    </w:p>
  </w:footnote>
  <w:footnote w:id="18">
    <w:p>
      <w:pPr>
        <w:bidi/>
        <w:spacing w:before="0" w:after="0" w:line="240" w:lineRule="auto"/>
        <w:jc w:val="both"/>
      </w:pPr>
      <w:r>
        <w:rPr>
          <w:vertAlign w:val="superscript"/>
          <w:sz w:val="20"/>
        </w:rPr>
        <w:footnoteRef/>
      </w:r>
      <w:r>
        <w:rPr>
          <w:sz w:val="20"/>
        </w:rPr>
        <w:t xml:space="preserve"> </w:t>
      </w:r>
      <w:r>
        <w:rPr>
          <w:rtl/>
          <w:sz w:val="20"/>
          <w:szCs w:val="20"/>
        </w:rPr>
        <w:t xml:space="preserve">ס' 6(ב), שם.</w:t>
      </w:r>
    </w:p>
  </w:footnote>
  <w:footnote w:id="19">
    <w:p>
      <w:pPr>
        <w:bidi/>
        <w:spacing w:before="0" w:after="0" w:line="240" w:lineRule="auto"/>
        <w:jc w:val="both"/>
      </w:pPr>
      <w:r>
        <w:rPr>
          <w:vertAlign w:val="superscript"/>
          <w:sz w:val="20"/>
        </w:rPr>
        <w:footnoteRef/>
      </w:r>
      <w:r>
        <w:rPr>
          <w:sz w:val="20"/>
        </w:rPr>
        <w:t xml:space="preserve"> </w:t>
      </w:r>
      <w:r>
        <w:rPr>
          <w:rtl/>
          <w:sz w:val="20"/>
          <w:szCs w:val="20"/>
        </w:rPr>
        <w:t xml:space="preserve">בג"ץ 239/83 מילפלדר נ' בית הדין הארצי לעבודה, פ"ד מא(2) 210 (1987).</w:t>
      </w:r>
    </w:p>
  </w:footnote>
  <w:footnote w:id="20">
    <w:p>
      <w:pPr>
        <w:bidi/>
        <w:spacing w:before="0" w:after="0" w:line="240" w:lineRule="auto"/>
        <w:jc w:val="both"/>
      </w:pPr>
      <w:r>
        <w:rPr>
          <w:vertAlign w:val="superscript"/>
          <w:sz w:val="20"/>
        </w:rPr>
        <w:footnoteRef/>
      </w:r>
      <w:r>
        <w:rPr>
          <w:sz w:val="20"/>
        </w:rPr>
        <w:t xml:space="preserve"> </w:t>
      </w:r>
      <w:r>
        <w:rPr>
          <w:rtl/>
          <w:sz w:val="20"/>
          <w:szCs w:val="20"/>
        </w:rPr>
        <w:t xml:space="preserve">גליה הילדסהימר "חוזה עבודה אישי ומניעת הרעת תנאים, חלקים א'-ב'" מצגת הקורס היבטים משפטיים ואתיים בייעוץ ופיתוח ארגוני, המרכז האקדמי פרס (2026).</w:t>
      </w:r>
    </w:p>
  </w:footnote>
  <w:footnote w:id="21">
    <w:p>
      <w:pPr>
        <w:bidi/>
        <w:spacing w:before="0" w:after="0" w:line="240" w:lineRule="auto"/>
        <w:jc w:val="both"/>
      </w:pPr>
      <w:r>
        <w:rPr>
          <w:vertAlign w:val="superscript"/>
          <w:sz w:val="20"/>
        </w:rPr>
        <w:footnoteRef/>
      </w:r>
      <w:r>
        <w:rPr>
          <w:sz w:val="20"/>
        </w:rPr>
        <w:t xml:space="preserve"> </w:t>
      </w:r>
      <w:r>
        <w:rPr>
          <w:rtl/>
          <w:sz w:val="20"/>
          <w:szCs w:val="20"/>
        </w:rPr>
        <w:t xml:space="preserve">ס' 2(א)(3), 3 ו-5א לחוק הודעה לעובד ולמועמד לעבודה (תנאי עבודה והליכי מיון וקבלה לעבודה), התשס"ב–2002.</w:t>
      </w:r>
    </w:p>
  </w:footnote>
  <w:footnote w:id="22">
    <w:p>
      <w:pPr>
        <w:bidi/>
        <w:spacing w:before="0" w:after="0" w:line="240" w:lineRule="auto"/>
        <w:jc w:val="both"/>
      </w:pPr>
      <w:r>
        <w:rPr>
          <w:vertAlign w:val="superscript"/>
          <w:sz w:val="20"/>
        </w:rPr>
        <w:footnoteRef/>
      </w:r>
      <w:r>
        <w:rPr>
          <w:sz w:val="20"/>
        </w:rPr>
        <w:t xml:space="preserve"> </w:t>
      </w:r>
      <w:r>
        <w:rPr>
          <w:rtl/>
          <w:sz w:val="20"/>
          <w:szCs w:val="20"/>
        </w:rPr>
        <w:t xml:space="preserve">ס' 11(א) לחוק פיצויי פיטורים, התשכ"ג–1963.</w:t>
      </w:r>
    </w:p>
  </w:footnote>
  <w:footnote w:id="23">
    <w:p>
      <w:pPr>
        <w:bidi/>
        <w:spacing w:before="0" w:after="0" w:line="240" w:lineRule="auto"/>
        <w:jc w:val="both"/>
      </w:pPr>
      <w:r>
        <w:rPr>
          <w:vertAlign w:val="superscript"/>
          <w:sz w:val="20"/>
        </w:rPr>
        <w:footnoteRef/>
      </w:r>
      <w:r>
        <w:rPr>
          <w:sz w:val="20"/>
        </w:rPr>
        <w:t xml:space="preserve"> </w:t>
      </w:r>
      <w:r>
        <w:rPr>
          <w:rtl/>
          <w:sz w:val="20"/>
          <w:szCs w:val="20"/>
        </w:rPr>
        <w:t xml:space="preserve">ס' 1(א), שם.</w:t>
      </w:r>
    </w:p>
  </w:footnote>
  <w:footnote w:id="24">
    <w:p>
      <w:pPr>
        <w:bidi/>
        <w:spacing w:before="0" w:after="0" w:line="240" w:lineRule="auto"/>
        <w:jc w:val="both"/>
      </w:pPr>
      <w:r>
        <w:rPr>
          <w:vertAlign w:val="superscript"/>
          <w:sz w:val="20"/>
        </w:rPr>
        <w:footnoteRef/>
      </w:r>
      <w:r>
        <w:rPr>
          <w:sz w:val="20"/>
        </w:rPr>
        <w:t xml:space="preserve"> </w:t>
      </w:r>
      <w:r>
        <w:rPr>
          <w:rtl/>
          <w:sz w:val="20"/>
          <w:szCs w:val="20"/>
        </w:rPr>
        <w:t xml:space="preserve">תב"ע (ארצי) נד/86-3 יוחנן גולן נ' אי.אל.די. בע"מ (להלן: עניין גולן).</w:t>
      </w:r>
    </w:p>
  </w:footnote>
  <w:footnote w:id="25">
    <w:p>
      <w:pPr>
        <w:bidi/>
        <w:spacing w:before="0" w:after="0" w:line="240" w:lineRule="auto"/>
        <w:jc w:val="both"/>
      </w:pPr>
      <w:r>
        <w:rPr>
          <w:vertAlign w:val="superscript"/>
          <w:sz w:val="20"/>
        </w:rPr>
        <w:footnoteRef/>
      </w:r>
      <w:r>
        <w:rPr>
          <w:sz w:val="20"/>
        </w:rPr>
        <w:t xml:space="preserve"> </w:t>
      </w:r>
      <w:r>
        <w:rPr>
          <w:rtl/>
          <w:sz w:val="20"/>
          <w:szCs w:val="20"/>
        </w:rPr>
        <w:t xml:space="preserve">ע"ע (ארצי) 28475-03-20 סלמאן נ' אקובג בע"מ, פס' 4-10 (נבו 7.12.2020).</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David" w:hAnsi="David" w:cs="David" w:eastAsia="David"/>
      <w:sz w:val="24"/>
      <w:szCs w:val="24"/>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