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noProof/>
          <w:sz w:val="32"/>
          <w:szCs w:val="32"/>
          <w:rtl/>
          <w:lang w:val="en-US" w:bidi="he-IL"/>
        </w:rPr>
        <w:t xml:space="preserve">הקריה האקדמית אונו</w:t>
      </w:r>
    </w:p>
    <w:p>
      <w:pPr>
        <w:bidi/>
        <w:spacing w:line="360"/>
        <w:jc w:val="center"/>
      </w:pPr>
      <w:r>
        <w:rPr>
          <w:rFonts w:ascii="David" w:cs="David" w:eastAsia="David" w:hAnsi="David"/>
          <w:b w:val="false"/>
          <w:noProof/>
          <w:sz w:val="24"/>
          <w:szCs w:val="24"/>
          <w:rtl/>
          <w:lang w:val="en-US" w:bidi="he-IL"/>
        </w:rPr>
        <w:t xml:space="preserve">הפקולטה למדעי הרוח</w:t>
      </w:r>
    </w:p>
    <w:p>
      <w:pPr>
        <w:bidi/>
        <w:spacing w:line="360"/>
        <w:jc w:val="center"/>
      </w:pPr>
      <w:r>
        <w:rPr>
          <w:rFonts w:ascii="David" w:cs="David" w:eastAsia="David" w:hAnsi="David"/>
          <w:b w:val="false"/>
          <w:noProof/>
          <w:sz w:val="24"/>
          <w:szCs w:val="24"/>
          <w:rtl/>
          <w:lang w:val="en-US" w:bidi="he-I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noProof/>
          <w:sz w:val="36"/>
          <w:szCs w:val="36"/>
          <w:rtl/>
          <w:lang w:val="en-US" w:bidi="he-IL"/>
        </w:rPr>
        <w:t xml:space="preserve">עבודת סיכום</w:t>
      </w:r>
    </w:p>
    <w:p>
      <w:pPr>
        <w:bidi/>
        <w:spacing w:line="360"/>
        <w:jc w:val="center"/>
      </w:pPr>
      <w:r>
        <w:rPr>
          <w:rFonts w:ascii="David" w:cs="David" w:eastAsia="David" w:hAnsi="David"/>
          <w:b/>
          <w:bCs/>
          <w:noProof/>
          <w:sz w:val="30"/>
          <w:szCs w:val="30"/>
          <w:rtl/>
          <w:lang w:val="en-US" w:bidi="he-I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noProof/>
          <w:sz w:val="26"/>
          <w:szCs w:val="26"/>
          <w:rtl/>
          <w:lang w:val="en-US" w:bidi="he-IL"/>
        </w:rPr>
        <w:t xml:space="preserve">בקורס: התנהגות ארגונית מיקרו ומאקרו</w:t>
      </w:r>
    </w:p>
    <w:p>
      <w:pPr>
        <w:bidi/>
        <w:spacing w:line="360"/>
        <w:jc w:val="center"/>
      </w:pPr>
      <w:r>
        <w:rPr>
          <w:rFonts w:ascii="David" w:cs="David" w:eastAsia="David" w:hAnsi="David"/>
          <w:b w:val="false"/>
          <w:noProof/>
          <w:sz w:val="24"/>
          <w:szCs w:val="24"/>
          <w:rtl/>
          <w:lang w:val="en-US" w:bidi="he-IL"/>
        </w:rPr>
        <w:t xml:space="preserve">שנת הלימודים תשפ"ו</w:t>
      </w:r>
    </w:p>
    <w:p>
      <w:pPr>
        <w:bidi/>
        <w:spacing w:line="360"/>
      </w:pPr>
    </w:p>
    <w:p>
      <w:pPr>
        <w:bidi/>
        <w:spacing w:line="360"/>
      </w:pPr>
    </w:p>
    <w:p>
      <w:pPr>
        <w:bidi/>
        <w:spacing w:line="360"/>
        <w:jc w:val="center"/>
      </w:pPr>
      <w:r>
        <w:rPr>
          <w:rFonts w:ascii="David" w:cs="David" w:eastAsia="David" w:hAnsi="David"/>
          <w:b/>
          <w:bCs/>
          <w:noProof/>
          <w:sz w:val="24"/>
          <w:szCs w:val="24"/>
          <w:rtl/>
          <w:lang w:val="en-US" w:bidi="he-IL"/>
        </w:rPr>
        <w:t xml:space="preserve">מגישות:</w:t>
      </w:r>
    </w:p>
    <w:p>
      <w:pPr>
        <w:bidi/>
        <w:spacing w:line="360"/>
        <w:jc w:val="center"/>
      </w:pPr>
      <w:r>
        <w:rPr>
          <w:rFonts w:ascii="David" w:cs="David" w:eastAsia="David" w:hAnsi="David"/>
          <w:b w:val="false"/>
          <w:noProof/>
          <w:sz w:val="24"/>
          <w:szCs w:val="24"/>
          <w:rtl/>
          <w:lang w:val="en-US" w:bidi="he-IL"/>
        </w:rPr>
        <w:t xml:space="preserve">רואן לוקמאן ביאטרה    ת"ז: 300869781</w:t>
      </w:r>
    </w:p>
    <w:p>
      <w:pPr>
        <w:bidi/>
        <w:spacing w:line="360"/>
        <w:jc w:val="center"/>
      </w:pPr>
      <w:r>
        <w:rPr>
          <w:rFonts w:ascii="David" w:cs="David" w:eastAsia="David" w:hAnsi="David"/>
          <w:b w:val="false"/>
          <w:noProof/>
          <w:sz w:val="24"/>
          <w:szCs w:val="24"/>
          <w:rtl/>
          <w:lang w:val="en-US" w:bidi="he-IL"/>
        </w:rPr>
        <w:t xml:space="preserve">מריאן אבו-ח׳לא    ת"ז: 211584644</w:t>
      </w:r>
    </w:p>
    <w:p>
      <w:pPr>
        <w:bidi/>
        <w:spacing w:line="360"/>
        <w:jc w:val="center"/>
      </w:pPr>
      <w:r>
        <w:rPr>
          <w:rFonts w:ascii="David" w:cs="David" w:eastAsia="David" w:hAnsi="David"/>
          <w:b w:val="false"/>
          <w:noProof/>
          <w:sz w:val="24"/>
          <w:szCs w:val="24"/>
          <w:rtl/>
          <w:lang w:val="en-US" w:bidi="he-IL"/>
        </w:rPr>
        <w:t xml:space="preserve">עביר בדיר    ת"ז: 034387365</w:t>
      </w:r>
    </w:p>
    <w:p>
      <w:pPr>
        <w:bidi/>
        <w:spacing w:line="360"/>
      </w:pPr>
    </w:p>
    <w:p>
      <w:pPr>
        <w:bidi/>
        <w:spacing w:line="360"/>
      </w:pPr>
    </w:p>
    <w:p>
      <w:pPr>
        <w:bidi/>
        <w:spacing w:line="360"/>
        <w:jc w:val="center"/>
      </w:pPr>
      <w:r>
        <w:rPr>
          <w:rFonts w:ascii="David" w:cs="David" w:eastAsia="David" w:hAnsi="David"/>
          <w:b w:val="false"/>
          <w:noProof/>
          <w:sz w:val="24"/>
          <w:szCs w:val="24"/>
          <w:rtl/>
          <w:lang w:val="en-US" w:bidi="he-IL"/>
        </w:rPr>
        <w:t xml:space="preserve">שם המרצה: ד"ר אילן פרידריך</w:t>
      </w:r>
    </w:p>
    <w:p>
      <w:pPr>
        <w:bidi/>
        <w:spacing w:line="360"/>
        <w:jc w:val="center"/>
      </w:pPr>
      <w:r>
        <w:rPr>
          <w:rFonts w:ascii="David" w:cs="David" w:eastAsia="David" w:hAnsi="David"/>
          <w:b w:val="false"/>
          <w:noProof/>
          <w:sz w:val="24"/>
          <w:szCs w:val="24"/>
          <w:rtl/>
          <w:lang w:val="en-US" w:bidi="he-IL"/>
        </w:rPr>
        <w:t xml:space="preserve">תאריך ההגשה: 07/10/2026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noProof/>
          <w:sz w:val="32"/>
          <w:szCs w:val="32"/>
          <w:rtl/>
          <w:lang w:val="en-US" w:bidi="he-IL"/>
        </w:rPr>
        <w:t xml:space="preserve">חלק א': תוכנית "פיתוח מנהלים" לדרג הביניים</w:t>
      </w:r>
    </w:p>
    <w:p>
      <w:pPr>
        <w:bidi/>
        <w:spacing w:after="120" w:line="360"/>
        <w:jc w:val="both"/>
      </w:pPr>
      <w:r>
        <w:rPr>
          <w:rFonts w:ascii="David" w:cs="David" w:eastAsia="David" w:hAnsi="David"/>
          <w:noProof/>
          <w:sz w:val="24"/>
          <w:szCs w:val="24"/>
          <w:rtl/>
          <w:lang w:val="en-US" w:bidi="he-I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keepNext/>
        <w:bidi/>
        <w:spacing w:after="80" w:before="200" w:line="360"/>
        <w:jc w:val="right"/>
      </w:pPr>
      <w:r>
        <w:rPr>
          <w:rFonts w:ascii="David" w:cs="David" w:eastAsia="David" w:hAnsi="David"/>
          <w:b/>
          <w:bCs/>
          <w:noProof/>
          <w:sz w:val="28"/>
          <w:szCs w:val="28"/>
          <w:rtl/>
          <w:lang w:val="en-US" w:bidi="he-IL"/>
        </w:rPr>
        <w:t xml:space="preserve">מפגש 1: אישיות ולחץ בעבודה</w:t>
      </w:r>
    </w:p>
    <w:p>
      <w:pPr>
        <w:bidi/>
        <w:spacing w:after="120" w:line="360"/>
        <w:jc w:val="both"/>
      </w:pPr>
      <w:r>
        <w:rPr>
          <w:rFonts w:ascii="David" w:cs="David" w:eastAsia="David" w:hAnsi="David"/>
          <w:noProof/>
          <w:sz w:val="24"/>
          <w:szCs w:val="24"/>
          <w:rtl/>
          <w:lang w:val="en-US" w:bidi="he-I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noProof/>
          <w:sz w:val="24"/>
          <w:szCs w:val="24"/>
          <w:rtl/>
          <w:lang w:val="en-US" w:bidi="he-IL"/>
        </w:rPr>
        <w:t xml:space="preserve">אישיות</w:t>
      </w:r>
    </w:p>
    <w:p>
      <w:pPr>
        <w:bidi/>
        <w:spacing w:after="120" w:line="360"/>
        <w:jc w:val="both"/>
      </w:pPr>
      <w:r>
        <w:rPr>
          <w:rFonts w:ascii="David" w:cs="David" w:eastAsia="David" w:hAnsi="David"/>
          <w:noProof/>
          <w:sz w:val="24"/>
          <w:szCs w:val="24"/>
          <w:rtl/>
          <w:lang w:val="en-US" w:bidi="he-IL"/>
        </w:rPr>
        <w:t xml:space="preserve">כפי שהוצג בקורס, 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Big Five</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noProof/>
          <w:sz w:val="24"/>
          <w:szCs w:val="24"/>
          <w:rtl/>
          <w:lang w:val="en-US" w:bidi="he-IL"/>
        </w:rPr>
        <w:t xml:space="preserve">לחץ בעבודה ושחיקה</w:t>
      </w:r>
    </w:p>
    <w:p>
      <w:pPr>
        <w:bidi/>
        <w:spacing w:after="120" w:line="360"/>
        <w:jc w:val="both"/>
      </w:pPr>
      <w:r>
        <w:rPr>
          <w:rFonts w:ascii="David" w:cs="David" w:eastAsia="David" w:hAnsi="David"/>
          <w:noProof/>
          <w:sz w:val="24"/>
          <w:szCs w:val="24"/>
          <w:rtl/>
          <w:lang w:val="en-US" w:bidi="he-IL"/>
        </w:rPr>
        <w:t xml:space="preserve">בקורס הוצגו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Giorgi et al., 2015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noProof/>
          <w:sz w:val="24"/>
          <w:szCs w:val="24"/>
          <w:rtl/>
          <w:lang w:val="en-US" w:bidi="he-IL"/>
        </w:rPr>
        <w:t xml:space="preserve">המודל שמחבר בין שלוש ההגדרות הוא המודל הטרנזקציוני של לזרוס ופולקמן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Lazarus &amp; Folkman, 1984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noProof/>
          <w:sz w:val="24"/>
          <w:szCs w:val="24"/>
          <w:rtl/>
          <w:lang w:val="en-US" w:bidi="he-IL"/>
        </w:rPr>
        <w:t xml:space="preserve">הזיקה בין אישיות ללחץ</w:t>
      </w:r>
    </w:p>
    <w:p>
      <w:pPr>
        <w:bidi/>
        <w:spacing w:after="120" w:line="360"/>
        <w:jc w:val="both"/>
      </w:pPr>
      <w:r>
        <w:rPr>
          <w:rFonts w:ascii="David" w:cs="David" w:eastAsia="David" w:hAnsi="David"/>
          <w:noProof/>
          <w:sz w:val="24"/>
          <w:szCs w:val="24"/>
          <w:rtl/>
          <w:lang w:val="en-US" w:bidi="he-IL"/>
        </w:rPr>
        <w:t xml:space="preserve">כאן נכנסת האישיות.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noProof/>
          <w:sz w:val="24"/>
          <w:szCs w:val="24"/>
          <w:rtl/>
          <w:lang w:val="en-US" w:bidi="he-I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noProof/>
          <w:sz w:val="24"/>
          <w:szCs w:val="24"/>
          <w:rtl/>
          <w:lang w:val="en-US" w:bidi="he-I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noProof/>
          <w:sz w:val="28"/>
          <w:szCs w:val="28"/>
          <w:rtl/>
          <w:lang w:val="en-US" w:bidi="he-IL"/>
        </w:rPr>
        <w:t xml:space="preserve">מפגש 2: תיאוריית ההוגנות של אדמס, תיאוריית הצרכים של מקללנד ודור ה-Y</w:t>
      </w:r>
    </w:p>
    <w:p>
      <w:pPr>
        <w:bidi/>
        <w:spacing w:after="120" w:line="360"/>
        <w:jc w:val="both"/>
      </w:pPr>
      <w:r>
        <w:rPr>
          <w:rFonts w:ascii="David" w:cs="David" w:eastAsia="David" w:hAnsi="David"/>
          <w:noProof/>
          <w:sz w:val="24"/>
          <w:szCs w:val="24"/>
          <w:rtl/>
          <w:lang w:val="en-US" w:bidi="he-IL"/>
        </w:rPr>
        <w:t xml:space="preserve">כפי שהוגדרה בקורס, 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noProof/>
          <w:sz w:val="24"/>
          <w:szCs w:val="24"/>
          <w:rtl/>
          <w:lang w:val="en-US" w:bidi="he-IL"/>
        </w:rPr>
        <w:t xml:space="preserve">תיאוריית ההוגנות של אדמס</w:t>
      </w:r>
    </w:p>
    <w:p>
      <w:pPr>
        <w:bidi/>
        <w:spacing w:after="120" w:line="360"/>
        <w:jc w:val="both"/>
      </w:pPr>
      <w:r>
        <w:rPr>
          <w:rFonts w:ascii="David" w:cs="David" w:eastAsia="David" w:hAnsi="David"/>
          <w:noProof/>
          <w:sz w:val="24"/>
          <w:szCs w:val="24"/>
          <w:rtl/>
          <w:lang w:val="en-US" w:bidi="he-I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noProof/>
          <w:sz w:val="24"/>
          <w:szCs w:val="24"/>
          <w:rtl/>
          <w:lang w:val="en-US" w:bidi="he-IL"/>
        </w:rPr>
        <w:t xml:space="preserve">תיאוריית הצרכים של מקללנד</w:t>
      </w:r>
    </w:p>
    <w:p>
      <w:pPr>
        <w:bidi/>
        <w:spacing w:after="120" w:line="360"/>
        <w:jc w:val="both"/>
      </w:pPr>
      <w:r>
        <w:rPr>
          <w:rFonts w:ascii="David" w:cs="David" w:eastAsia="David" w:hAnsi="David"/>
          <w:noProof/>
          <w:sz w:val="24"/>
          <w:szCs w:val="24"/>
          <w:rtl/>
          <w:lang w:val="en-US" w:bidi="he-I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1985</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McClelland &amp; Boyatzis, 1982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noProof/>
          <w:sz w:val="24"/>
          <w:szCs w:val="24"/>
          <w:rtl/>
          <w:lang w:val="en-US" w:bidi="he-I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noProof/>
          <w:sz w:val="24"/>
          <w:szCs w:val="24"/>
          <w:rtl/>
          <w:lang w:val="en-US" w:bidi="he-IL"/>
        </w:rPr>
        <w:t xml:space="preserve">דור ה-Y</w:t>
      </w:r>
    </w:p>
    <w:p>
      <w:pPr>
        <w:bidi/>
        <w:spacing w:after="120" w:line="360"/>
        <w:jc w:val="both"/>
      </w:pPr>
      <w:r>
        <w:rPr>
          <w:rFonts w:ascii="David" w:cs="David" w:eastAsia="David" w:hAnsi="David"/>
          <w:noProof/>
          <w:sz w:val="24"/>
          <w:szCs w:val="24"/>
          <w:rtl/>
          <w:lang w:val="en-US" w:bidi="he-I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דור ה-Y, ילידי תחילת שנות השמונים עד אמצע שנות התשעים, מתואר בקורס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noProof/>
          <w:sz w:val="24"/>
          <w:szCs w:val="24"/>
          <w:rtl/>
          <w:lang w:val="en-US" w:bidi="he-IL"/>
        </w:rPr>
        <w:t xml:space="preserve">בני הדור גדלו בתקופה של שינויים טכנולוגיים מהירים, וחוו כאירועים מכוננים את פיגועי 11 בספטמבר ואת התפוצצות בועת ההייטק.</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noProof/>
          <w:sz w:val="28"/>
          <w:szCs w:val="28"/>
          <w:rtl/>
          <w:lang w:val="en-US" w:bidi="he-IL"/>
        </w:rPr>
        <w:t xml:space="preserve">מפגש 3: התעמרות בעבודה ותרבות ארגונית</w:t>
      </w:r>
    </w:p>
    <w:p>
      <w:pPr>
        <w:bidi/>
        <w:spacing w:after="120" w:line="360"/>
        <w:jc w:val="both"/>
      </w:pPr>
      <w:r>
        <w:rPr>
          <w:rFonts w:ascii="David" w:cs="David" w:eastAsia="David" w:hAnsi="David"/>
          <w:noProof/>
          <w:sz w:val="24"/>
          <w:szCs w:val="24"/>
          <w:rtl/>
          <w:lang w:val="en-US" w:bidi="he-I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noProof/>
          <w:sz w:val="24"/>
          <w:szCs w:val="24"/>
          <w:rtl/>
          <w:lang w:val="en-US" w:bidi="he-IL"/>
        </w:rPr>
        <w:t xml:space="preserve">התעמרות בעבודה</w:t>
      </w:r>
    </w:p>
    <w:p>
      <w:pPr>
        <w:bidi/>
        <w:spacing w:after="120" w:line="360"/>
        <w:jc w:val="both"/>
      </w:pPr>
      <w:r>
        <w:rPr>
          <w:rFonts w:ascii="David" w:cs="David" w:eastAsia="David" w:hAnsi="David"/>
          <w:noProof/>
          <w:sz w:val="24"/>
          <w:szCs w:val="24"/>
          <w:rtl/>
          <w:lang w:val="en-US" w:bidi="he-IL"/>
        </w:rPr>
        <w:t xml:space="preserve">לפי ההגדרה שהוצגה בקורס, התעמרות היא מצב מתמשך של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noProof/>
          <w:sz w:val="24"/>
          <w:szCs w:val="24"/>
          <w:rtl/>
          <w:lang w:val="en-US" w:bidi="he-I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Leymann, 1996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הממצא הזה מסיט את תשומת הלב מ"מי הפוגע" אל "מה בסביבה מאפשר לו לפגוע".</w:t>
      </w:r>
    </w:p>
    <w:p>
      <w:pPr>
        <w:bidi/>
        <w:spacing w:after="120" w:line="360"/>
        <w:jc w:val="both"/>
      </w:pPr>
      <w:r>
        <w:rPr>
          <w:rFonts w:ascii="David" w:cs="David" w:eastAsia="David" w:hAnsi="David"/>
          <w:noProof/>
          <w:sz w:val="24"/>
          <w:szCs w:val="24"/>
          <w:rtl/>
          <w:lang w:val="en-US" w:bidi="he-I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noProof/>
          <w:sz w:val="24"/>
          <w:szCs w:val="24"/>
          <w:rtl/>
          <w:lang w:val="en-US" w:bidi="he-IL"/>
        </w:rPr>
        <w:t xml:space="preserve">תרבות ארגונית</w:t>
      </w:r>
    </w:p>
    <w:p>
      <w:pPr>
        <w:bidi/>
        <w:spacing w:after="120" w:line="360"/>
        <w:jc w:val="both"/>
      </w:pPr>
      <w:r>
        <w:rPr>
          <w:rFonts w:ascii="David" w:cs="David" w:eastAsia="David" w:hAnsi="David"/>
          <w:noProof/>
          <w:sz w:val="24"/>
          <w:szCs w:val="24"/>
          <w:rtl/>
          <w:lang w:val="en-US" w:bidi="he-I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Schein, 1990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Competing Values Framework</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שפיתחו קווין ורורבו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Quinn &amp; Rohrbaugh, 1983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noProof/>
          <w:sz w:val="28"/>
          <w:szCs w:val="28"/>
          <w:rtl/>
          <w:lang w:val="en-US" w:bidi="he-IL"/>
        </w:rPr>
        <w:t xml:space="preserve">מפגש 4: התנהגות אזרחית ואישיות מקיאווליסטית</w:t>
      </w:r>
    </w:p>
    <w:p>
      <w:pPr>
        <w:bidi/>
        <w:spacing w:after="120" w:line="360"/>
        <w:jc w:val="both"/>
      </w:pPr>
      <w:r>
        <w:rPr>
          <w:rFonts w:ascii="David" w:cs="David" w:eastAsia="David" w:hAnsi="David"/>
          <w:noProof/>
          <w:sz w:val="24"/>
          <w:szCs w:val="24"/>
          <w:rtl/>
          <w:lang w:val="en-US" w:bidi="he-I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noProof/>
          <w:sz w:val="24"/>
          <w:szCs w:val="24"/>
          <w:rtl/>
          <w:lang w:val="en-US" w:bidi="he-IL"/>
        </w:rPr>
        <w:t xml:space="preserve">התנהגות אזרחית בארגון</w:t>
      </w:r>
    </w:p>
    <w:p>
      <w:pPr>
        <w:bidi/>
        <w:spacing w:after="120" w:line="360"/>
        <w:jc w:val="both"/>
      </w:pPr>
      <w:r>
        <w:rPr>
          <w:rFonts w:ascii="David" w:cs="David" w:eastAsia="David" w:hAnsi="David"/>
          <w:noProof/>
          <w:sz w:val="24"/>
          <w:szCs w:val="24"/>
          <w:rtl/>
          <w:lang w:val="en-US" w:bidi="he-I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Organ, 1988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Podsakoff et al., 2000</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noProof/>
          <w:sz w:val="24"/>
          <w:szCs w:val="24"/>
          <w:rtl/>
          <w:lang w:val="en-US" w:bidi="he-IL"/>
        </w:rPr>
        <w:t xml:space="preserve">בקורס הוצגה גם תמונת המראה של ההתנהגות האזרחית, ההתנהגות הלא נאותה: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counterproductive work behavior</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האישיות המקיאווליסטית</w:t>
      </w:r>
    </w:p>
    <w:p>
      <w:pPr>
        <w:bidi/>
        <w:spacing w:after="120" w:line="360"/>
        <w:jc w:val="both"/>
      </w:pPr>
      <w:r>
        <w:rPr>
          <w:rFonts w:ascii="David" w:cs="David" w:eastAsia="David" w:hAnsi="David"/>
          <w:noProof/>
          <w:sz w:val="24"/>
          <w:szCs w:val="24"/>
          <w:rtl/>
          <w:lang w:val="en-US" w:bidi="he-I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keepNext/>
        <w:bidi/>
        <w:spacing w:after="80" w:before="60" w:line="360"/>
        <w:jc w:val="right"/>
      </w:pPr>
      <w:r>
        <w:rPr>
          <w:rFonts w:ascii="David" w:cs="David" w:eastAsia="David" w:hAnsi="David"/>
          <w:b/>
          <w:bCs/>
          <w:noProof/>
          <w:sz w:val="24"/>
          <w:szCs w:val="24"/>
          <w:rtl/>
          <w:lang w:val="en-US" w:bidi="he-IL"/>
        </w:rPr>
        <w:t xml:space="preserve">הזיקה בין הנושאים</w:t>
      </w:r>
    </w:p>
    <w:p>
      <w:pPr>
        <w:bidi/>
        <w:spacing w:after="120" w:line="360"/>
        <w:jc w:val="both"/>
      </w:pPr>
      <w:r>
        <w:rPr>
          <w:rFonts w:ascii="David" w:cs="David" w:eastAsia="David" w:hAnsi="David"/>
          <w:noProof/>
          <w:sz w:val="24"/>
          <w:szCs w:val="24"/>
          <w:rtl/>
          <w:lang w:val="en-US" w:bidi="he-I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noProof/>
          <w:sz w:val="24"/>
          <w:szCs w:val="24"/>
          <w:rtl/>
          <w:lang w:val="en-US" w:bidi="he-I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noProof/>
          <w:sz w:val="32"/>
          <w:szCs w:val="32"/>
          <w:rtl/>
          <w:lang w:val="en-US" w:bidi="he-IL"/>
        </w:rPr>
        <w:t xml:space="preserve">חלק ב': רפלקציה</w:t>
      </w:r>
    </w:p>
    <w:p>
      <w:pPr>
        <w:keepNext/>
        <w:bidi/>
        <w:spacing w:after="80" w:before="200" w:line="360"/>
        <w:jc w:val="right"/>
      </w:pPr>
      <w:r>
        <w:rPr>
          <w:rFonts w:ascii="David" w:cs="David" w:eastAsia="David" w:hAnsi="David"/>
          <w:b/>
          <w:bCs/>
          <w:noProof/>
          <w:sz w:val="28"/>
          <w:szCs w:val="28"/>
          <w:rtl/>
          <w:lang w:val="en-US" w:bidi="he-IL"/>
        </w:rPr>
        <w:t xml:space="preserve">רפלקציה: רואן לוקמאן ביאטרה</w:t>
      </w:r>
    </w:p>
    <w:p>
      <w:pPr>
        <w:keepNext/>
        <w:bidi/>
        <w:spacing w:after="80" w:before="60" w:line="360"/>
        <w:jc w:val="right"/>
      </w:pPr>
      <w:r>
        <w:rPr>
          <w:rFonts w:ascii="David" w:cs="David" w:eastAsia="David" w:hAnsi="David"/>
          <w:b/>
          <w:bCs/>
          <w:noProof/>
          <w:sz w:val="24"/>
          <w:szCs w:val="24"/>
          <w:rtl/>
          <w:lang w:val="en-US" w:bidi="he-IL"/>
        </w:rPr>
        <w:t xml:space="preserve">נושא ראשון: אישיות ולחץ בעבודה</w:t>
      </w:r>
    </w:p>
    <w:p>
      <w:pPr>
        <w:bidi/>
        <w:spacing w:after="120" w:line="360"/>
        <w:jc w:val="both"/>
      </w:pPr>
      <w:r>
        <w:rPr>
          <w:rFonts w:ascii="David" w:cs="David" w:eastAsia="David" w:hAnsi="David"/>
          <w:noProof/>
          <w:sz w:val="24"/>
          <w:szCs w:val="24"/>
          <w:rtl/>
          <w:lang w:val="en-US" w:bidi="he-I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Chen et al., 2022</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הבנתי שחלק גדול מהלחץ נוצר ברגע שבו אני מפרשת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noProof/>
          <w:sz w:val="24"/>
          <w:szCs w:val="24"/>
          <w:rtl/>
          <w:lang w:val="en-US" w:bidi="he-I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מחשבת מה עלול להשתבש. פעם ראיתי בזה רצינות. היום אני רואה בזה גם דפוס שעולה לי ביוקר.</w:t>
      </w:r>
    </w:p>
    <w:p>
      <w:pPr>
        <w:bidi/>
        <w:spacing w:after="120" w:line="360"/>
        <w:jc w:val="both"/>
      </w:pPr>
      <w:r>
        <w:rPr>
          <w:rFonts w:ascii="David" w:cs="David" w:eastAsia="David" w:hAnsi="David"/>
          <w:noProof/>
          <w:sz w:val="24"/>
          <w:szCs w:val="24"/>
          <w:rtl/>
          <w:lang w:val="en-US" w:bidi="he-I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noProof/>
          <w:sz w:val="24"/>
          <w:szCs w:val="24"/>
          <w:rtl/>
          <w:lang w:val="en-US" w:bidi="he-I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noProof/>
          <w:sz w:val="24"/>
          <w:szCs w:val="24"/>
          <w:rtl/>
          <w:lang w:val="en-US" w:bidi="he-I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צריכה לנחש. כשאני מעבירה משימות לאחרים, אני משתדלת לזכור שאותה משימה תיקרא אחרת אצל כל אחד, ולשאול לפני שאני מניחה.</w:t>
      </w:r>
    </w:p>
    <w:p>
      <w:pPr>
        <w:keepNext/>
        <w:bidi/>
        <w:spacing w:after="80" w:before="60" w:line="360"/>
        <w:jc w:val="right"/>
      </w:pPr>
      <w:r>
        <w:rPr>
          <w:rFonts w:ascii="David" w:cs="David" w:eastAsia="David" w:hAnsi="David"/>
          <w:b/>
          <w:bCs/>
          <w:noProof/>
          <w:sz w:val="24"/>
          <w:szCs w:val="24"/>
          <w:rtl/>
          <w:lang w:val="en-US" w:bidi="he-IL"/>
        </w:rPr>
        <w:t xml:space="preserve">נושא שני: התעמרות בעבודה ותרבות ארגונית</w:t>
      </w:r>
    </w:p>
    <w:p>
      <w:pPr>
        <w:bidi/>
        <w:spacing w:after="120" w:line="360"/>
        <w:jc w:val="both"/>
      </w:pPr>
      <w:r>
        <w:rPr>
          <w:rFonts w:ascii="David" w:cs="David" w:eastAsia="David" w:hAnsi="David"/>
          <w:noProof/>
          <w:sz w:val="24"/>
          <w:szCs w:val="24"/>
          <w:rtl/>
          <w:lang w:val="en-US" w:bidi="he-I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noProof/>
          <w:sz w:val="24"/>
          <w:szCs w:val="24"/>
          <w:rtl/>
          <w:lang w:val="en-US" w:bidi="he-IL"/>
        </w:rPr>
        <w:t xml:space="preserve">למדתי על עצמי דבר לא מחמיא: בחרתי בנוחות. לא אני פגעתי בה,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Feijó et al., 2019</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w:t>
      </w:r>
    </w:p>
    <w:p>
      <w:pPr>
        <w:bidi/>
        <w:spacing w:after="120" w:line="360"/>
        <w:jc w:val="both"/>
      </w:pPr>
      <w:r>
        <w:rPr>
          <w:rFonts w:ascii="David" w:cs="David" w:eastAsia="David" w:hAnsi="David"/>
          <w:noProof/>
          <w:sz w:val="24"/>
          <w:szCs w:val="24"/>
          <w:rtl/>
          <w:lang w:val="en-US" w:bidi="he-I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noProof/>
          <w:sz w:val="24"/>
          <w:szCs w:val="24"/>
          <w:rtl/>
          <w:lang w:val="en-US" w:bidi="he-I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noProof/>
          <w:sz w:val="24"/>
          <w:szCs w:val="24"/>
          <w:rtl/>
          <w:lang w:val="en-US" w:bidi="he-IL"/>
        </w:rPr>
        <w:t xml:space="preserve">הקורס גם גרם לי לשאול איזו תרבות קיימת בארגון שבו אני עובדת היום. לפי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noProof/>
          <w:sz w:val="24"/>
          <w:szCs w:val="24"/>
          <w:rtl/>
          <w:lang w:val="en-US" w:bidi="he-I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noProof/>
          <w:sz w:val="24"/>
          <w:szCs w:val="24"/>
          <w:rtl/>
          <w:lang w:val="en-US" w:bidi="he-IL"/>
        </w:rPr>
        <w:t xml:space="preserve">תובנות על הדיסציפלינה</w:t>
      </w:r>
    </w:p>
    <w:p>
      <w:pPr>
        <w:bidi/>
        <w:spacing w:after="120" w:line="360"/>
        <w:jc w:val="both"/>
      </w:pPr>
      <w:r>
        <w:rPr>
          <w:rFonts w:ascii="David" w:cs="David" w:eastAsia="David" w:hAnsi="David"/>
          <w:noProof/>
          <w:sz w:val="24"/>
          <w:szCs w:val="24"/>
          <w:rtl/>
          <w:lang w:val="en-US" w:bidi="he-I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לוקחת ממנו.</w:t>
      </w:r>
    </w:p>
    <w:p>
      <w:pPr>
        <w:keepNext/>
        <w:pageBreakBefore/>
        <w:bidi/>
        <w:spacing w:after="80" w:before="200" w:line="360"/>
        <w:jc w:val="right"/>
      </w:pPr>
      <w:r>
        <w:rPr>
          <w:rFonts w:ascii="David" w:cs="David" w:eastAsia="David" w:hAnsi="David"/>
          <w:b/>
          <w:bCs/>
          <w:noProof/>
          <w:sz w:val="28"/>
          <w:szCs w:val="28"/>
          <w:rtl/>
          <w:lang w:val="en-US" w:bidi="he-IL"/>
        </w:rPr>
        <w:t xml:space="preserve">רפלקציה: מריאן אבו-ח׳לא</w:t>
      </w:r>
    </w:p>
    <w:p>
      <w:pPr>
        <w:keepNext/>
        <w:bidi/>
        <w:spacing w:after="80" w:before="60" w:line="360"/>
        <w:jc w:val="right"/>
      </w:pPr>
      <w:r>
        <w:rPr>
          <w:rFonts w:ascii="David" w:cs="David" w:eastAsia="David" w:hAnsi="David"/>
          <w:b/>
          <w:bCs/>
          <w:noProof/>
          <w:sz w:val="24"/>
          <w:szCs w:val="24"/>
          <w:rtl/>
          <w:lang w:val="en-US" w:bidi="he-IL"/>
        </w:rPr>
        <w:t xml:space="preserve">נושא ראשון: המוטיבציה של אדמס ומקללנד ודור ה-Y</w:t>
      </w:r>
    </w:p>
    <w:p>
      <w:pPr>
        <w:bidi/>
        <w:spacing w:after="120" w:line="360"/>
        <w:jc w:val="both"/>
      </w:pPr>
      <w:r>
        <w:rPr>
          <w:rFonts w:ascii="David" w:cs="David" w:eastAsia="David" w:hAnsi="David"/>
          <w:noProof/>
          <w:sz w:val="24"/>
          <w:szCs w:val="24"/>
          <w:rtl/>
          <w:lang w:val="en-US" w:bidi="he-IL"/>
        </w:rPr>
        <w:t xml:space="preserve">התחברתי לנושא כי אני בעצמי בת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Schröder,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נמצאת בקריירה, שבו אני עדיין צריכה לדעת אם אני בכיוון הנכון.</w:t>
      </w:r>
    </w:p>
    <w:p>
      <w:pPr>
        <w:bidi/>
        <w:spacing w:after="120" w:line="360"/>
        <w:jc w:val="both"/>
      </w:pPr>
      <w:r>
        <w:rPr>
          <w:rFonts w:ascii="David" w:cs="David" w:eastAsia="David" w:hAnsi="David"/>
          <w:noProof/>
          <w:sz w:val="24"/>
          <w:szCs w:val="24"/>
          <w:rtl/>
          <w:lang w:val="en-US" w:bidi="he-IL"/>
        </w:rPr>
        <w:t xml:space="preserve">תיאוריית ההוגנות של אדמס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Adams, 1963</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כפי שמצוטט אצל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noProof/>
          <w:sz w:val="24"/>
          <w:szCs w:val="24"/>
          <w:rtl/>
          <w:lang w:val="en-US" w:bidi="he-IL"/>
        </w:rPr>
        <w:t xml:space="preserve">מה שמעניין הוא שבמחקר של פאן ועמיתיו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noProof/>
          <w:sz w:val="24"/>
          <w:szCs w:val="24"/>
          <w:rtl/>
          <w:lang w:val="en-US" w:bidi="he-I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noProof/>
          <w:sz w:val="24"/>
          <w:szCs w:val="24"/>
          <w:rtl/>
          <w:lang w:val="en-US" w:bidi="he-I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noProof/>
          <w:sz w:val="24"/>
          <w:szCs w:val="24"/>
          <w:rtl/>
          <w:lang w:val="en-US" w:bidi="he-IL"/>
        </w:rPr>
        <w:t xml:space="preserve">מה שאני לוקחת ליישום הוא ההבחנה של מקללנד בין שלושת הצרכים. אני מנהלת שני עובדים צעירים, ועד עכשיו ניסיתי להניע את שניהם באותה דרך. אחד מהם, כך אני מבינה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גרם לי גם להפסיק להתבייש בצורך ההשתייכות שלי כמנהלת. חשבתי שהוא חולשה, ומתברר שהוא יכול לאזן את הרצון להשפיע.</w:t>
      </w:r>
    </w:p>
    <w:p>
      <w:pPr>
        <w:bidi/>
        <w:spacing w:after="120" w:line="360"/>
        <w:jc w:val="both"/>
      </w:pPr>
      <w:r>
        <w:rPr>
          <w:rFonts w:ascii="David" w:cs="David" w:eastAsia="David" w:hAnsi="David"/>
          <w:noProof/>
          <w:sz w:val="24"/>
          <w:szCs w:val="24"/>
          <w:rtl/>
          <w:lang w:val="en-US" w:bidi="he-IL"/>
        </w:rPr>
        <w:t xml:space="preserve">גם העובדים שלי שייכים לדור שבא אחריי, ואני מוצאת את עצמי אומרת עליהם את אותם דברים שאמרו עליי. ברגעים כאלה אני מנסה לעצור ולשאול מה בדיוק ראיתי, ולא מה אני יודעת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noProof/>
          <w:sz w:val="24"/>
          <w:szCs w:val="24"/>
          <w:rtl/>
          <w:lang w:val="en-US" w:bidi="he-IL"/>
        </w:rPr>
        <w:t xml:space="preserve">נושא שני: התנהגות אזרחית ואישיות מקיאווליסטית</w:t>
      </w:r>
    </w:p>
    <w:p>
      <w:pPr>
        <w:bidi/>
        <w:spacing w:after="120" w:line="360"/>
        <w:jc w:val="both"/>
      </w:pPr>
      <w:r>
        <w:rPr>
          <w:rFonts w:ascii="David" w:cs="David" w:eastAsia="David" w:hAnsi="David"/>
          <w:noProof/>
          <w:sz w:val="24"/>
          <w:szCs w:val="24"/>
          <w:rtl/>
          <w:lang w:val="en-US" w:bidi="he-I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noProof/>
          <w:sz w:val="24"/>
          <w:szCs w:val="24"/>
          <w:rtl/>
          <w:lang w:val="en-US" w:bidi="he-IL"/>
        </w:rPr>
        <w:t xml:space="preserve">יחד עם זה, הנושא לימד אותי משהו גם על עצמי. חלק מהעזרה שאני נותנת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Cai et al., 2024</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noProof/>
          <w:sz w:val="24"/>
          <w:szCs w:val="24"/>
          <w:rtl/>
          <w:lang w:val="en-US" w:bidi="he-IL"/>
        </w:rPr>
        <w:t xml:space="preserve">המחקר של אופלטקה (2007) על מורים הוסיף לי זווית חשובה. התנהגות אזרחית אינה רק תכונה של העובד, אלא תלויה גם בארגון ובמנהל. כשאני חושבת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Pan et al., 2018</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אם אני רוצה יותר תרומה מעבר לנדרש, אני צריכה להתחיל ממה שאני נותנת.</w:t>
      </w:r>
    </w:p>
    <w:p>
      <w:pPr>
        <w:bidi/>
        <w:spacing w:after="120" w:line="360"/>
        <w:jc w:val="both"/>
      </w:pPr>
      <w:r>
        <w:rPr>
          <w:rFonts w:ascii="David" w:cs="David" w:eastAsia="David" w:hAnsi="David"/>
          <w:noProof/>
          <w:sz w:val="24"/>
          <w:szCs w:val="24"/>
          <w:rtl/>
          <w:lang w:val="en-US" w:bidi="he-I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מתכוונת לשים לב לאופן שבו אני עצמי מתגמלת עזרה: אם אני מחמיאה רק על מה שנעשה מולי, אני מלמדת את הצוות לעזור רק מולי.</w:t>
      </w:r>
    </w:p>
    <w:p>
      <w:pPr>
        <w:bidi/>
        <w:spacing w:after="120" w:line="360"/>
        <w:jc w:val="both"/>
      </w:pPr>
      <w:r>
        <w:rPr>
          <w:rFonts w:ascii="David" w:cs="David" w:eastAsia="David" w:hAnsi="David"/>
          <w:noProof/>
          <w:sz w:val="24"/>
          <w:szCs w:val="24"/>
          <w:rtl/>
          <w:lang w:val="en-US" w:bidi="he-IL"/>
        </w:rPr>
        <w:t xml:space="preserve">הדבר הקשה יותר הוא לזהות מקיאווליזם בלי להפוך לחשדנית. לא כל מי שעוזר מול המנהל עושה זאת מחישוב, ולא ארצה צוות שבו כל מחווה נבדקת. לכן אני מעדיפה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noProof/>
          <w:sz w:val="24"/>
          <w:szCs w:val="24"/>
          <w:rtl/>
          <w:lang w:val="en-US" w:bidi="he-IL"/>
        </w:rPr>
        <w:t xml:space="preserve">תובנות על הדיסציפלינה</w:t>
      </w:r>
    </w:p>
    <w:p>
      <w:pPr>
        <w:bidi/>
        <w:spacing w:after="120" w:line="360"/>
        <w:jc w:val="both"/>
      </w:pPr>
      <w:r>
        <w:rPr>
          <w:rFonts w:ascii="David" w:cs="David" w:eastAsia="David" w:hAnsi="David"/>
          <w:noProof/>
          <w:sz w:val="24"/>
          <w:szCs w:val="24"/>
          <w:rtl/>
          <w:lang w:val="en-US" w:bidi="he-I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right"/>
      </w:pPr>
      <w:r>
        <w:rPr>
          <w:rFonts w:ascii="David" w:cs="David" w:eastAsia="David" w:hAnsi="David"/>
          <w:b/>
          <w:bCs/>
          <w:noProof/>
          <w:sz w:val="28"/>
          <w:szCs w:val="28"/>
          <w:rtl/>
          <w:lang w:val="en-US" w:bidi="he-IL"/>
        </w:rPr>
        <w:t xml:space="preserve">רפלקציה: עביר בדיר</w:t>
      </w:r>
    </w:p>
    <w:p>
      <w:pPr>
        <w:keepNext/>
        <w:bidi/>
        <w:spacing w:after="80" w:before="60" w:line="360"/>
        <w:jc w:val="right"/>
      </w:pPr>
      <w:r>
        <w:rPr>
          <w:rFonts w:ascii="David" w:cs="David" w:eastAsia="David" w:hAnsi="David"/>
          <w:b/>
          <w:bCs/>
          <w:noProof/>
          <w:sz w:val="24"/>
          <w:szCs w:val="24"/>
          <w:rtl/>
          <w:lang w:val="en-US" w:bidi="he-IL"/>
        </w:rPr>
        <w:t xml:space="preserve">נושא ראשון: מנהיגות</w:t>
      </w:r>
    </w:p>
    <w:p>
      <w:pPr>
        <w:bidi/>
        <w:spacing w:after="120" w:line="360"/>
        <w:jc w:val="both"/>
      </w:pPr>
      <w:r>
        <w:rPr>
          <w:rFonts w:ascii="David" w:cs="David" w:eastAsia="David" w:hAnsi="David"/>
          <w:noProof/>
          <w:sz w:val="24"/>
          <w:szCs w:val="24"/>
          <w:rtl/>
          <w:lang w:val="en-US" w:bidi="he-IL"/>
        </w:rPr>
        <w:t xml:space="preserve">התחברתי לנושא המנהיגות משום שבמשך שנים חשבתי שמנהיגות היא עניין של כריזמה: מי שמדבר בביטחון ויודע לסחוף אנשים. ההרצאה על מנהיגות, והקריאה על מנהיגות אותנטית, הציגו לי תמונה אחרת. במחקר על 410 מנהלי בתי ספר נמצא שמנהלים אותנטיים, הפועלים ממניעים פנימיים ולא מתוך רצון ברווח אישי או במעמד, מרבים לתרום מעבר לנדרש וממעטים להשתמש בטקטיקות השפעה בלתי נאותות (מילון ושפירא-לשצ'ינסקי, 2021). לא מדובר במנהל שמרשים יותר, אלא במנהל שאפשר לסמוך עליו.</w:t>
      </w:r>
    </w:p>
    <w:p>
      <w:pPr>
        <w:bidi/>
        <w:spacing w:after="120" w:line="360"/>
        <w:jc w:val="both"/>
      </w:pPr>
      <w:r>
        <w:rPr>
          <w:rFonts w:ascii="David" w:cs="David" w:eastAsia="David" w:hAnsi="David"/>
          <w:noProof/>
          <w:sz w:val="24"/>
          <w:szCs w:val="24"/>
          <w:rtl/>
          <w:lang w:val="en-US" w:bidi="he-IL"/>
        </w:rPr>
        <w:t xml:space="preserve">בחיים המקצועיים הבחנה זו עזרה לי להבין שני מנהלים שעבדתי תחתם. הראשון היה מרשים מאוד בישיבות, אבל החלטות רבות התקבלו אצלו בשיחות מסדרון, ומידע חשוב הגיע רק לחלק מהצוות. השנייה דיברה פחות, אבל הסבירה כל החלטה ואמרה בגלוי גם כשלא ידעה. בזמנו לא הבנתי למה התחושה בצוות שלה הייתה בטוחה יותר. היום יש לי מילים לזה: הראשון השתמש בשליטה במידע ככלי השפעה, כפי שמתוארות טקטיקות פוליטיות בספרות (ויגודה, 1997, כפי שמצוטט אצל מילון ושפירא-לשצ'ינסקי, 2021), והשנייה פעלה מתוך עקביות בין מה שהיא אומרת לבין מה שהיא עושה.</w:t>
      </w:r>
    </w:p>
    <w:p>
      <w:pPr>
        <w:bidi/>
        <w:spacing w:after="120" w:line="360"/>
        <w:jc w:val="both"/>
      </w:pPr>
      <w:r>
        <w:rPr>
          <w:rFonts w:ascii="David" w:cs="David" w:eastAsia="David" w:hAnsi="David"/>
          <w:noProof/>
          <w:sz w:val="24"/>
          <w:szCs w:val="24"/>
          <w:rtl/>
          <w:lang w:val="en-US" w:bidi="he-IL"/>
        </w:rPr>
        <w:t xml:space="preserve">הפתיע אותי גם הממצא של שטיינמן ועמיתיה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Steinmann et al., 2016</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שלפיו מנהלים בעלי צורך גבוה בכוח הצליחו יותר, והעובדים שלהם היו מרוצים יותר, כשהיה להם גם צורך גבוה בהשתייכות. תמיד חשבתי שהרצון להיות אהובה הוא חולשה של מנהלת, ושמנהלת טובה צריכה להיות קצת מרוחקת. מתברר שהשילוב בין הרצון להשפיע לבין אכפתיות אמיתית כלפי האנשים הוא דווקא מה שמאפשר להוביל.</w:t>
      </w:r>
    </w:p>
    <w:p>
      <w:pPr>
        <w:bidi/>
        <w:spacing w:after="120" w:line="360"/>
        <w:jc w:val="both"/>
      </w:pPr>
      <w:r>
        <w:rPr>
          <w:rFonts w:ascii="David" w:cs="David" w:eastAsia="David" w:hAnsi="David"/>
          <w:noProof/>
          <w:sz w:val="24"/>
          <w:szCs w:val="24"/>
          <w:rtl/>
          <w:lang w:val="en-US" w:bidi="he-IL"/>
        </w:rPr>
        <w:t xml:space="preserve">היה גם ממצא שהיה לי קשה יותר לקבל. באותו מחקר על מנהלי בתי ספר לא נמצא קשר בין התנהגות אזרחית לבין התנהגות פוליטית, כלומר אותו מנהל יכול לתרום מעבר לנדרש ובמקביל להפעיל טקטיקות השפעה (מילון ושפירא-לשצ'ינסקי, 2021). כשבדקתי את עצמי בכנות, ראיתי שגם אני עושה את זה לפעמים: עוזרת מאוד, ובאותו זמן בוחרת בקפידה מתי ומול מי לעזור. הממצא לא גרם לי להרגיש אשמה, אלא להבין שאותנטיות אינה תכונה שיש או אין, אלא בחירה שחוזרת על עצמה בכל החלטה קטנה.</w:t>
      </w:r>
    </w:p>
    <w:p>
      <w:pPr>
        <w:bidi/>
        <w:spacing w:after="120" w:line="360"/>
        <w:jc w:val="both"/>
      </w:pPr>
      <w:r>
        <w:rPr>
          <w:rFonts w:ascii="David" w:cs="David" w:eastAsia="David" w:hAnsi="David"/>
          <w:noProof/>
          <w:sz w:val="24"/>
          <w:szCs w:val="24"/>
          <w:rtl/>
          <w:lang w:val="en-US" w:bidi="he-IL"/>
        </w:rPr>
        <w:t xml:space="preserve">בחיים האישיים זיהיתי את אותו דבר במשפחה ובוועד ההורים שבו אני פעילה. מי שמובילים בפועל אינם תמיד מי שמדברים הכי הרבה, אלא מי שאנשים סומכים על כך שהם לא פועלים מתוך אינטרס נסתר.</w:t>
      </w:r>
    </w:p>
    <w:p>
      <w:pPr>
        <w:bidi/>
        <w:spacing w:after="120" w:line="360"/>
        <w:jc w:val="both"/>
      </w:pPr>
      <w:r>
        <w:rPr>
          <w:rFonts w:ascii="David" w:cs="David" w:eastAsia="David" w:hAnsi="David"/>
          <w:noProof/>
          <w:sz w:val="24"/>
          <w:szCs w:val="24"/>
          <w:rtl/>
          <w:lang w:val="en-US" w:bidi="he-IL"/>
        </w:rPr>
        <w:t xml:space="preserve">ביישום, אני רוצה לאמץ שני הרגלים בתפקידי כרכזת. הראשון, להסביר את הנימוקים שמאחורי החלטות, גם כשהן לא פופולריות, במקום להסתפק בהודעה על ההחלטה. השני, לשים לב למקומות שבהם אני מחזיקה מידע שאחרים צריכים, ולשאול את עצמי אם אני מעבירה אותו כי זה נכון או מעכבת אותו כי זה נותן לי כוח.</w:t>
      </w:r>
    </w:p>
    <w:p>
      <w:pPr>
        <w:keepNext/>
        <w:bidi/>
        <w:spacing w:after="80" w:before="60" w:line="360"/>
        <w:jc w:val="right"/>
      </w:pPr>
      <w:r>
        <w:rPr>
          <w:rFonts w:ascii="David" w:cs="David" w:eastAsia="David" w:hAnsi="David"/>
          <w:b/>
          <w:bCs/>
          <w:noProof/>
          <w:sz w:val="24"/>
          <w:szCs w:val="24"/>
          <w:rtl/>
          <w:lang w:val="en-US" w:bidi="he-IL"/>
        </w:rPr>
        <w:t xml:space="preserve">נושא שני: תרבות ארגונית וניהול קונפליקטים</w:t>
      </w:r>
    </w:p>
    <w:p>
      <w:pPr>
        <w:bidi/>
        <w:spacing w:after="120" w:line="360"/>
        <w:jc w:val="both"/>
      </w:pPr>
      <w:r>
        <w:rPr>
          <w:rFonts w:ascii="David" w:cs="David" w:eastAsia="David" w:hAnsi="David"/>
          <w:noProof/>
          <w:sz w:val="24"/>
          <w:szCs w:val="24"/>
          <w:rtl/>
          <w:lang w:val="en-US" w:bidi="he-IL"/>
        </w:rPr>
        <w:t xml:space="preserve">הנושא הזה ערער אצלי הנחה שהחזקתי בה זמן רב. תמיד ראיתי בתרבות ארגונית חזקה דבר רצוי: כולם מסכימים על הערכים, יש תחושת משפחה, יודעים מה מצופה מכל אחד. המחקר של מש וכהן (2021) הראה צד אחר. בארגונים בעלי תרבות חזקה הקונצנזוס מסווה הבדלי אינטרסים, וכאשר קונפליקט מתפרץ בכל זאת, הוא מנוהל בסגנון תחרותי של מנצח ומפסיד. דווקא בתרבות חלשה יותר, שיש בה מקום לדעות שונות, נמצא סגנון של שיתוף פעולה.</w:t>
      </w:r>
    </w:p>
    <w:p>
      <w:pPr>
        <w:bidi/>
        <w:spacing w:after="120" w:line="360"/>
        <w:jc w:val="both"/>
      </w:pPr>
      <w:r>
        <w:rPr>
          <w:rFonts w:ascii="David" w:cs="David" w:eastAsia="David" w:hAnsi="David"/>
          <w:noProof/>
          <w:sz w:val="24"/>
          <w:szCs w:val="24"/>
          <w:rtl/>
          <w:lang w:val="en-US" w:bidi="he-IL"/>
        </w:rPr>
        <w:t xml:space="preserve">בחיים המקצועיים זה תיאר במדויק את מקום העבודה שלי. אצלנו מדברים הרבה על "משפחה", ומי שמביעה הסתייגות נתפסת לפעמים כמי שאינה נאמנה. התוצאה היא שמחלוקות לא עולות בישיבות. הן נשארות במסדרונות, ואז מתפוצצות בבת אחת. מש וכהן (2021) מתארים בדיוק את הדפוס הזה: אנשים נמנעים מעימות כל עוד אפשר, וכשאין ברירה הם מתעמתים במלוא העוצמה. כשקראתי את זה הבנתי שהבעיה אינה באנשים, אלא בתרבות שאינה מאפשרת לחלוקי דעות להיות דבר רגיל.</w:t>
      </w:r>
    </w:p>
    <w:p>
      <w:pPr>
        <w:bidi/>
        <w:spacing w:after="120" w:line="360"/>
        <w:jc w:val="both"/>
      </w:pPr>
      <w:r>
        <w:rPr>
          <w:rFonts w:ascii="David" w:cs="David" w:eastAsia="David" w:hAnsi="David"/>
          <w:noProof/>
          <w:sz w:val="24"/>
          <w:szCs w:val="24"/>
          <w:rtl/>
          <w:lang w:val="en-US" w:bidi="he-IL"/>
        </w:rPr>
        <w:t xml:space="preserve">עוד ממצא שנגע בי הוא הקשר שנמצא בין תרבות חזקה לבין סולידריות גבוהה. החוקרים מפרשים זאת כעדות לכך שתרבות חזקה מעודדת דמיון על פני שונות (מש וכהן, 2021, עמ' 12). חשבתי על עובדות חדשות שהצטרפו לצוות שלנו בשנה האחרונה, עם רקע וניסיון שונים משלנו. במקום לשמוע מה הן מביאות, ציפינו מהן להתאים את עצמן במהירות. ייתכן שבדרך איבדנו בדיוק את הרעיונות שהיו יכולים לשפר את העבודה.</w:t>
      </w:r>
    </w:p>
    <w:p>
      <w:pPr>
        <w:bidi/>
        <w:spacing w:after="120" w:line="360"/>
        <w:jc w:val="both"/>
      </w:pPr>
      <w:r>
        <w:rPr>
          <w:rFonts w:ascii="David" w:cs="David" w:eastAsia="David" w:hAnsi="David"/>
          <w:noProof/>
          <w:sz w:val="24"/>
          <w:szCs w:val="24"/>
          <w:rtl/>
          <w:lang w:val="en-US" w:bidi="he-IL"/>
        </w:rPr>
        <w:t xml:space="preserve">בחיים האישיים ראיתי את אותה דינמיקה במשפחה המורחבת. יש משפחות שבהן "לא מדברים על זה" כדי לשמור על השקט, ואז ויכוח קטן על חלוקת אחריות הופך לריב גדול. הבנתי שאחדות אמיתית אינה היעדר מחלוקות, אלא היכולת לדבר עליהן בלי שמישהו ירגיש שהוא בוגד.</w:t>
      </w:r>
    </w:p>
    <w:p>
      <w:pPr>
        <w:bidi/>
        <w:spacing w:after="120" w:line="360"/>
        <w:jc w:val="both"/>
      </w:pPr>
      <w:r>
        <w:rPr>
          <w:rFonts w:ascii="David" w:cs="David" w:eastAsia="David" w:hAnsi="David"/>
          <w:noProof/>
          <w:sz w:val="24"/>
          <w:szCs w:val="24"/>
          <w:rtl/>
          <w:lang w:val="en-US" w:bidi="he-IL"/>
        </w:rPr>
        <w:t xml:space="preserve">מה שאפשר ליישם הוא המעבר משיח של עמדות לשיח של אינטרסים, שהמאמר מציג כתנאי לשיתוף פעולה (מש וכהן, 2021). כשמתעוררת מחלוקת בצוות, אני רוצה לשאול לא רק "מה את רוצה" אלא "למה זה חשוב לך". בנוסף, מודל הערכים הסותרים (</w:t>
      </w:r>
      <w:r>
        <w:rPr>
          <w:rFonts w:ascii="David" w:cs="David" w:eastAsia="David" w:hAnsi="David"/>
          <w:noProof/>
          <w:sz w:val="24"/>
          <w:szCs w:val="24"/>
          <w:rtl/>
          <w:lang w:val="en-US" w:bidi="he-IL"/>
        </w:rPr>
        <w:t xml:space="preserve">‏</w:t>
      </w:r>
      <w:r>
        <w:rPr>
          <w:rFonts w:ascii="David" w:cs="David" w:eastAsia="David" w:hAnsi="David"/>
          <w:noProof/>
          <w:sz w:val="24"/>
          <w:szCs w:val="24"/>
          <w:rtl w:val="false"/>
          <w:lang w:val="en-US" w:bidi="he-IL"/>
        </w:rPr>
        <w:t xml:space="preserve">Helfrich et al., 2007</w:t>
      </w:r>
      <w:r>
        <w:rPr>
          <w:rFonts w:ascii="David" w:cs="David" w:eastAsia="David" w:hAnsi="David"/>
          <w:noProof/>
          <w:sz w:val="24"/>
          <w:szCs w:val="24"/>
          <w:rtl/>
          <w:lang w:val="en-US" w:bidi="he-IL"/>
        </w:rPr>
        <w:t xml:space="preserve">‏</w:t>
      </w:r>
      <w:r>
        <w:rPr>
          <w:rFonts w:ascii="David" w:cs="David" w:eastAsia="David" w:hAnsi="David"/>
          <w:noProof/>
          <w:sz w:val="24"/>
          <w:szCs w:val="24"/>
          <w:rtl/>
          <w:lang w:val="en-US" w:bidi="he-IL"/>
        </w:rPr>
        <w:t xml:space="preserve">) עזר לי לזהות שהתרבות אצלנו היא בעיקר צוותית, עם ערכים של שייכות ומחויבות. אין צורך לוותר עליה, אבל כדאי להוסיף לה מנגנון קבוע, למשל סבב קצר בסוף כל ישיבה שבו כל אחת אומרת מה מטריד אותה, כך שהסתייגות תהיה חלק מהשגרה ולא חריגה ממנה.</w:t>
      </w:r>
    </w:p>
    <w:p>
      <w:pPr>
        <w:keepNext/>
        <w:bidi/>
        <w:spacing w:after="80" w:before="60" w:line="360"/>
        <w:jc w:val="right"/>
      </w:pPr>
      <w:r>
        <w:rPr>
          <w:rFonts w:ascii="David" w:cs="David" w:eastAsia="David" w:hAnsi="David"/>
          <w:b/>
          <w:bCs/>
          <w:noProof/>
          <w:sz w:val="24"/>
          <w:szCs w:val="24"/>
          <w:rtl/>
          <w:lang w:val="en-US" w:bidi="he-IL"/>
        </w:rPr>
        <w:t xml:space="preserve">תובנות על הדיסציפלינה</w:t>
      </w:r>
    </w:p>
    <w:p>
      <w:pPr>
        <w:bidi/>
        <w:spacing w:after="120" w:line="360"/>
        <w:jc w:val="both"/>
      </w:pPr>
      <w:r>
        <w:rPr>
          <w:rFonts w:ascii="David" w:cs="David" w:eastAsia="David" w:hAnsi="David"/>
          <w:noProof/>
          <w:sz w:val="24"/>
          <w:szCs w:val="24"/>
          <w:rtl/>
          <w:lang w:val="en-US" w:bidi="he-IL"/>
        </w:rPr>
        <w:t xml:space="preserve">התובנה המרכזית שלי היא שבהתנהגות ארגונית כמעט לכל דבר טוב יש מחיר. תרבות חזקה מלכדת, אבל עלולה להשתיק. מנהיג כריזמטי מרשים, אבל לא תמיד ראוי לאמון. הקורס לימד אותי לא להסתפק בשאלה "האם זה טוב לארגון", אלא לשאול גם "למי זה טוב, ומה זה עולה". הבנתי גם שהתחום מחבר בין רמת הפרט לבין רמת הארגון: אי אפשר להבין מנהל בלי להבין את התרבות שבה הוא פועל, ואי אפשר לשנות תרבות בלי מנהלים שמתנהגים אחרת.</w:t>
      </w:r>
    </w:p>
    <w:p>
      <w:pPr>
        <w:keepNext/>
        <w:pageBreakBefore/>
        <w:bidi/>
        <w:spacing w:after="80" w:before="200" w:line="360"/>
        <w:jc w:val="center"/>
      </w:pPr>
      <w:r>
        <w:rPr>
          <w:rFonts w:ascii="David" w:cs="David" w:eastAsia="David" w:hAnsi="David"/>
          <w:b/>
          <w:bCs/>
          <w:noProof/>
          <w:sz w:val="32"/>
          <w:szCs w:val="32"/>
          <w:rtl/>
          <w:lang w:val="en-US" w:bidi="he-IL"/>
        </w:rPr>
        <w:t xml:space="preserve">רשימת מקורות</w:t>
      </w:r>
    </w:p>
    <w:p>
      <w:pPr>
        <w:bidi/>
        <w:spacing w:after="120" w:line="360"/>
        <w:ind w:left="0" w:right="709" w:hanging="709"/>
        <w:jc w:val="right"/>
      </w:pPr>
      <w:r>
        <w:rPr>
          <w:rFonts w:ascii="David" w:cs="David" w:eastAsia="David" w:hAnsi="David"/>
          <w:i w:val="false"/>
          <w:noProof/>
          <w:sz w:val="24"/>
          <w:szCs w:val="24"/>
          <w:rtl/>
          <w:lang w:val="en-US" w:bidi="he-IL"/>
        </w:rPr>
        <w:t xml:space="preserve">אופלטקה, י' (2007). התנהגות אזרחית-ארגונית בקרב מורים בישראל: התופעה, רכיביה ומקורותיה. </w:t>
      </w:r>
      <w:r>
        <w:rPr>
          <w:rFonts w:ascii="David" w:cs="David" w:eastAsia="David" w:hAnsi="David"/>
          <w:i/>
          <w:iCs/>
          <w:noProof/>
          <w:sz w:val="24"/>
          <w:szCs w:val="24"/>
          <w:rtl/>
          <w:lang w:val="en-US" w:bidi="he-IL"/>
        </w:rPr>
        <w:t xml:space="preserve">דפים, 44</w:t>
      </w:r>
      <w:r>
        <w:rPr>
          <w:rFonts w:ascii="David" w:cs="David" w:eastAsia="David" w:hAnsi="David"/>
          <w:i w:val="false"/>
          <w:noProof/>
          <w:sz w:val="24"/>
          <w:szCs w:val="24"/>
          <w:rtl/>
          <w:lang w:val="en-US" w:bidi="he-IL"/>
        </w:rPr>
        <w:t xml:space="preserve">, 35-64.</w:t>
      </w:r>
    </w:p>
    <w:p>
      <w:pPr>
        <w:bidi/>
        <w:spacing w:after="120" w:line="360"/>
        <w:ind w:left="0" w:right="709" w:hanging="709"/>
        <w:jc w:val="right"/>
      </w:pPr>
      <w:r>
        <w:rPr>
          <w:rFonts w:ascii="David" w:cs="David" w:eastAsia="David" w:hAnsi="David"/>
          <w:i w:val="false"/>
          <w:noProof/>
          <w:sz w:val="24"/>
          <w:szCs w:val="24"/>
          <w:rtl/>
          <w:lang w:val="en-US" w:bidi="he-I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(1). https://cohrm.haifa.ac.il/wp-content/uploads/2021/02/Milons-Shapiro.pdf</w:t>
      </w:r>
    </w:p>
    <w:p>
      <w:pPr>
        <w:bidi/>
        <w:spacing w:after="120" w:line="360"/>
        <w:ind w:left="0" w:right="709" w:hanging="709"/>
        <w:jc w:val="right"/>
      </w:pPr>
      <w:r>
        <w:rPr>
          <w:rFonts w:ascii="David" w:cs="David" w:eastAsia="David" w:hAnsi="David"/>
          <w:i w:val="false"/>
          <w:noProof/>
          <w:sz w:val="24"/>
          <w:szCs w:val="24"/>
          <w:rtl/>
          <w:lang w:val="en-US" w:bidi="he-IL"/>
        </w:rPr>
        <w:t xml:space="preserve">מש, ר' וכהן, ת' (2021). תרבות ארגונית בישראל, קונפליקטים בארגון ומה שביניהם. </w:t>
      </w:r>
      <w:r>
        <w:rPr>
          <w:rFonts w:ascii="David" w:cs="David" w:eastAsia="David" w:hAnsi="David"/>
          <w:i/>
          <w:iCs/>
          <w:noProof/>
          <w:sz w:val="24"/>
          <w:szCs w:val="24"/>
          <w:rtl/>
          <w:lang w:val="en-US" w:bidi="he-IL"/>
        </w:rPr>
        <w:t xml:space="preserve">הרבעון לחקר ארגונים וניהול משאבי אנוש, 6</w:t>
      </w:r>
      <w:r>
        <w:rPr>
          <w:rFonts w:ascii="David" w:cs="David" w:eastAsia="David" w:hAnsi="David"/>
          <w:i w:val="false"/>
          <w:noProof/>
          <w:sz w:val="24"/>
          <w:szCs w:val="24"/>
          <w:rtl/>
          <w:lang w:val="en-US" w:bidi="he-IL"/>
        </w:rPr>
        <w:t xml:space="preserve">(2), 1-16. https://cohrm.haifa.ac.il/wp-content/uploads/2021/08/Mash-Cohen.pdf</w:t>
      </w:r>
    </w:p>
    <w:p>
      <w:pPr>
        <w:bidi/>
        <w:spacing w:after="120" w:line="360"/>
        <w:ind w:left="0" w:right="709" w:hanging="709"/>
        <w:jc w:val="right"/>
      </w:pPr>
      <w:r>
        <w:rPr>
          <w:rFonts w:ascii="David" w:cs="David" w:eastAsia="David" w:hAnsi="David"/>
          <w:i w:val="false"/>
          <w:noProof/>
          <w:sz w:val="24"/>
          <w:szCs w:val="24"/>
          <w:rtl/>
          <w:lang w:val="en-US" w:bidi="he-IL"/>
        </w:rPr>
        <w:t xml:space="preserve">קמיר, א' (2018). התעמרות בעבודה: בין פסיכולוגיה למשפט, בין חקיקה לפסיקה. </w:t>
      </w:r>
      <w:r>
        <w:rPr>
          <w:rFonts w:ascii="David" w:cs="David" w:eastAsia="David" w:hAnsi="David"/>
          <w:i/>
          <w:iCs/>
          <w:noProof/>
          <w:sz w:val="24"/>
          <w:szCs w:val="24"/>
          <w:rtl/>
          <w:lang w:val="en-US" w:bidi="he-IL"/>
        </w:rPr>
        <w:t xml:space="preserve">משפט ועסקים, כא</w:t>
      </w:r>
      <w:r>
        <w:rPr>
          <w:rFonts w:ascii="David" w:cs="David" w:eastAsia="David" w:hAnsi="David"/>
          <w:i w:val="false"/>
          <w:noProof/>
          <w:sz w:val="24"/>
          <w:szCs w:val="24"/>
          <w:rtl/>
          <w:lang w:val="en-US" w:bidi="he-IL"/>
        </w:rPr>
        <w:t xml:space="preserve">, 307-364.</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Cai, H., Wang, L., &amp; Jin, X. (2024). Leader's Machiavellianism and employees' counterproductive work behavior: Testing a moderated mediation model. </w:t>
      </w:r>
      <w:r>
        <w:rPr>
          <w:rFonts w:ascii="David" w:cs="David" w:eastAsia="David" w:hAnsi="David"/>
          <w:i/>
          <w:iCs/>
          <w:noProof/>
          <w:sz w:val="24"/>
          <w:szCs w:val="24"/>
          <w:rtl w:val="false"/>
          <w:lang w:val="en-US" w:bidi="he-IL"/>
        </w:rPr>
        <w:t xml:space="preserve">Frontiers in Psychology, 14</w:t>
      </w:r>
      <w:r>
        <w:rPr>
          <w:rFonts w:ascii="David" w:cs="David" w:eastAsia="David" w:hAnsi="David"/>
          <w:i w:val="false"/>
          <w:noProof/>
          <w:sz w:val="24"/>
          <w:szCs w:val="24"/>
          <w:rtl w:val="false"/>
          <w:lang w:val="en-US" w:bidi="he-IL"/>
        </w:rPr>
        <w:t xml:space="preserve">, Article 1283509. https://doi.org/10.3389/fpsyg.2023.1283509</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Chen, L., Qu, L., &amp; Hong, R. Y. (2022). Pathways linking the Big Five to psychological distress: Exploring the mediating roles of stress mindset and coping flexibility. </w:t>
      </w:r>
      <w:r>
        <w:rPr>
          <w:rFonts w:ascii="David" w:cs="David" w:eastAsia="David" w:hAnsi="David"/>
          <w:i/>
          <w:iCs/>
          <w:noProof/>
          <w:sz w:val="24"/>
          <w:szCs w:val="24"/>
          <w:rtl w:val="false"/>
          <w:lang w:val="en-US" w:bidi="he-IL"/>
        </w:rPr>
        <w:t xml:space="preserve">Journal of Clinical Medicine, 11</w:t>
      </w:r>
      <w:r>
        <w:rPr>
          <w:rFonts w:ascii="David" w:cs="David" w:eastAsia="David" w:hAnsi="David"/>
          <w:i w:val="false"/>
          <w:noProof/>
          <w:sz w:val="24"/>
          <w:szCs w:val="24"/>
          <w:rtl w:val="false"/>
          <w:lang w:val="en-US" w:bidi="he-IL"/>
        </w:rPr>
        <w:t xml:space="preserve">(9), Article 2272. https://doi.org/10.3390/jcm11092272</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Feijó, F. R., Gräf, D. D., Pearce, N., &amp; Fassa, A. G. (2019). Risk factors for workplace bullying: A systematic review. </w:t>
      </w:r>
      <w:r>
        <w:rPr>
          <w:rFonts w:ascii="David" w:cs="David" w:eastAsia="David" w:hAnsi="David"/>
          <w:i/>
          <w:iCs/>
          <w:noProof/>
          <w:sz w:val="24"/>
          <w:szCs w:val="24"/>
          <w:rtl w:val="false"/>
          <w:lang w:val="en-US" w:bidi="he-IL"/>
        </w:rPr>
        <w:t xml:space="preserve">International Journal of Environmental Research and Public Health, 16</w:t>
      </w:r>
      <w:r>
        <w:rPr>
          <w:rFonts w:ascii="David" w:cs="David" w:eastAsia="David" w:hAnsi="David"/>
          <w:i w:val="false"/>
          <w:noProof/>
          <w:sz w:val="24"/>
          <w:szCs w:val="24"/>
          <w:rtl w:val="false"/>
          <w:lang w:val="en-US" w:bidi="he-IL"/>
        </w:rPr>
        <w:t xml:space="preserve">(11), Article 1945. https://doi.org/10.3390/ijerph16111945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noProof/>
          <w:sz w:val="24"/>
          <w:szCs w:val="24"/>
          <w:rtl w:val="false"/>
          <w:lang w:val="en-US" w:bidi="he-IL"/>
        </w:rPr>
        <w:t xml:space="preserve">Implementation Science, 2</w:t>
      </w:r>
      <w:r>
        <w:rPr>
          <w:rFonts w:ascii="David" w:cs="David" w:eastAsia="David" w:hAnsi="David"/>
          <w:i w:val="false"/>
          <w:noProof/>
          <w:sz w:val="24"/>
          <w:szCs w:val="24"/>
          <w:rtl w:val="false"/>
          <w:lang w:val="en-US" w:bidi="he-IL"/>
        </w:rPr>
        <w:t xml:space="preserve">, Article 13. https://doi.org/10.1186/1748-5908-2-13</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Pan, X., Chen, M., Hao, Z., &amp; Bi, W. (2018). The effects of organizational justice on positive organizational behavior: Evidence from a large-sample survey and a situational experiment. </w:t>
      </w:r>
      <w:r>
        <w:rPr>
          <w:rFonts w:ascii="David" w:cs="David" w:eastAsia="David" w:hAnsi="David"/>
          <w:i/>
          <w:iCs/>
          <w:noProof/>
          <w:sz w:val="24"/>
          <w:szCs w:val="24"/>
          <w:rtl w:val="false"/>
          <w:lang w:val="en-US" w:bidi="he-IL"/>
        </w:rPr>
        <w:t xml:space="preserve">Frontiers in Psychology, 8</w:t>
      </w:r>
      <w:r>
        <w:rPr>
          <w:rFonts w:ascii="David" w:cs="David" w:eastAsia="David" w:hAnsi="David"/>
          <w:i w:val="false"/>
          <w:noProof/>
          <w:sz w:val="24"/>
          <w:szCs w:val="24"/>
          <w:rtl w:val="false"/>
          <w:lang w:val="en-US" w:bidi="he-IL"/>
        </w:rPr>
        <w:t xml:space="preserve">, Article 2315. https://doi.org/10.3389/fpsyg.2017.02315</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Schröder, M. (2024). Work motivation is not generational but depends on age and period. </w:t>
      </w:r>
      <w:r>
        <w:rPr>
          <w:rFonts w:ascii="David" w:cs="David" w:eastAsia="David" w:hAnsi="David"/>
          <w:i/>
          <w:iCs/>
          <w:noProof/>
          <w:sz w:val="24"/>
          <w:szCs w:val="24"/>
          <w:rtl w:val="false"/>
          <w:lang w:val="en-US" w:bidi="he-IL"/>
        </w:rPr>
        <w:t xml:space="preserve">Journal of Business and Psychology, 39</w:t>
      </w:r>
      <w:r>
        <w:rPr>
          <w:rFonts w:ascii="David" w:cs="David" w:eastAsia="David" w:hAnsi="David"/>
          <w:i w:val="false"/>
          <w:noProof/>
          <w:sz w:val="24"/>
          <w:szCs w:val="24"/>
          <w:rtl w:val="false"/>
          <w:lang w:val="en-US" w:bidi="he-IL"/>
        </w:rPr>
        <w:t xml:space="preserve">(4), 897-908. https://doi.org/10.1007/s10869-023-09921-8</w:t>
      </w:r>
    </w:p>
    <w:p>
      <w:pPr>
        <w:bidi w:val="false"/>
        <w:spacing w:after="120" w:line="360"/>
        <w:ind w:left="709" w:right="0" w:hanging="709"/>
        <w:jc w:val="left"/>
      </w:pPr>
      <w:r>
        <w:rPr>
          <w:rFonts w:ascii="David" w:cs="David" w:eastAsia="David" w:hAnsi="David"/>
          <w:i w:val="false"/>
          <w:noProof/>
          <w:sz w:val="24"/>
          <w:szCs w:val="24"/>
          <w:rtl w:val="false"/>
          <w:lang w:val="en-US" w:bidi="he-IL"/>
        </w:rPr>
        <w:t xml:space="preserve">Steinmann, B., Ötting, S. K., &amp; Maier, G. W. (2016). Need for affiliation as a motivational add-on for leadership behaviors and managerial success. </w:t>
      </w:r>
      <w:r>
        <w:rPr>
          <w:rFonts w:ascii="David" w:cs="David" w:eastAsia="David" w:hAnsi="David"/>
          <w:i/>
          <w:iCs/>
          <w:noProof/>
          <w:sz w:val="24"/>
          <w:szCs w:val="24"/>
          <w:rtl w:val="false"/>
          <w:lang w:val="en-US" w:bidi="he-IL"/>
        </w:rPr>
        <w:t xml:space="preserve">Frontiers in Psychology, 7</w:t>
      </w:r>
      <w:r>
        <w:rPr>
          <w:rFonts w:ascii="David" w:cs="David" w:eastAsia="David" w:hAnsi="David"/>
          <w:i w:val="false"/>
          <w:noProof/>
          <w:sz w:val="24"/>
          <w:szCs w:val="24"/>
          <w:rtl w:val="false"/>
          <w:lang w:val="en-US" w:bidi="he-IL"/>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0"/>
        <w:szCs w:val="20"/>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bidi="he-I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2026-10-07T16:57:29.415Z</dcterms:created>
  <dcterms:modified xsi:type="dcterms:W3CDTF">2026-10-07T16:57:29.420Z</dcterms:modified>
</cp:coreProperties>
</file>

<file path=docProps/custom.xml><?xml version="1.0" encoding="utf-8"?>
<Properties xmlns="http://schemas.openxmlformats.org/officeDocument/2006/custom-properties" xmlns:vt="http://schemas.openxmlformats.org/officeDocument/2006/docPropsVTypes"/>
</file>