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bCs/>
          <w:i w:val="false"/>
          <w:iCs w:val="false"/>
          <w:sz w:val="32"/>
          <w:szCs w:val="32"/>
          <w:rtl/>
        </w:rPr>
        <w:t xml:space="preserve">התוכנית למדעי היהדות</w:t>
      </w:r>
    </w:p>
    <w:p>
      <w:pPr>
        <w:bidi/>
        <w:spacing w:after="120" w:line="360" w:lineRule="auto"/>
        <w:jc w:val="center"/>
      </w:pPr>
      <w:r>
        <w:rPr>
          <w:rFonts w:ascii="David" w:cs="David" w:eastAsia="David" w:hAnsi="David"/>
          <w:b w:val="false"/>
          <w:bCs w:val="false"/>
          <w:i w:val="false"/>
          <w:iCs w:val="false"/>
          <w:sz w:val="28"/>
          <w:szCs w:val="28"/>
          <w:rtl/>
        </w:rPr>
        <w:t xml:space="preserve">לימודים לתואר מוסמך</w:t>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val="false"/>
          <w:bCs w:val="false"/>
          <w:i w:val="false"/>
          <w:iCs w:val="false"/>
          <w:sz w:val="28"/>
          <w:szCs w:val="28"/>
          <w:rtl/>
        </w:rPr>
        <w:t xml:space="preserve">עבודת סיום קורס:</w:t>
      </w:r>
    </w:p>
    <w:p>
      <w:pPr>
        <w:bidi/>
        <w:spacing w:after="120" w:line="360" w:lineRule="auto"/>
        <w:jc w:val="center"/>
      </w:pPr>
      <w:r>
        <w:rPr>
          <w:rFonts w:ascii="David" w:cs="David" w:eastAsia="David" w:hAnsi="David"/>
          <w:b/>
          <w:bCs/>
          <w:i w:val="false"/>
          <w:iCs w:val="false"/>
          <w:sz w:val="36"/>
          <w:szCs w:val="36"/>
          <w:rtl/>
        </w:rPr>
        <w:t xml:space="preserve">אדם, ספרות ומעשה בימי חז"ל</w:t>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val="false"/>
          <w:bCs w:val="false"/>
          <w:i w:val="false"/>
          <w:iCs w:val="false"/>
          <w:sz w:val="26"/>
          <w:szCs w:val="26"/>
          <w:rtl/>
        </w:rPr>
        <w:t xml:space="preserve">סמסטר ב תשפ"ו</w:t>
      </w:r>
    </w:p>
    <w:p>
      <w:pPr>
        <w:bidi/>
        <w:spacing w:after="120" w:line="360" w:lineRule="auto"/>
        <w:jc w:val="center"/>
      </w:pPr>
      <w:r>
        <w:rPr>
          <w:rFonts w:ascii="David" w:cs="David" w:eastAsia="David" w:hAnsi="David"/>
          <w:b w:val="false"/>
          <w:bCs w:val="false"/>
          <w:i w:val="false"/>
          <w:iCs w:val="false"/>
          <w:sz w:val="26"/>
          <w:szCs w:val="26"/>
          <w:rtl/>
        </w:rPr>
        <w:t xml:space="preserve">שם המרצה: הרב חגית סבאג ישראל</w:t>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val="false"/>
          <w:bCs w:val="false"/>
          <w:i w:val="false"/>
          <w:iCs w:val="false"/>
          <w:sz w:val="26"/>
          <w:szCs w:val="26"/>
          <w:rtl/>
        </w:rPr>
        <w:t xml:space="preserve">שם הסטודנט/ית: ____________________</w:t>
      </w:r>
    </w:p>
    <w:p>
      <w:pPr>
        <w:bidi/>
        <w:spacing w:after="120" w:line="360" w:lineRule="auto"/>
        <w:jc w:val="center"/>
      </w:pPr>
      <w:r>
        <w:rPr>
          <w:rFonts w:ascii="David" w:cs="David" w:eastAsia="David" w:hAnsi="David"/>
          <w:b w:val="false"/>
          <w:bCs w:val="false"/>
          <w:i w:val="false"/>
          <w:iCs w:val="false"/>
          <w:sz w:val="26"/>
          <w:szCs w:val="26"/>
          <w:rtl/>
        </w:rPr>
        <w:t xml:space="preserve">ת"ז: ____________________</w:t>
      </w:r>
    </w:p>
    <w:p>
      <w:r>
        <w:br w:type="page"/>
      </w:r>
    </w:p>
    <w:p>
      <w:pPr>
        <w:bidi/>
        <w:spacing w:after="120" w:before="240" w:line="360" w:lineRule="auto"/>
        <w:jc w:val="right"/>
      </w:pPr>
      <w:r>
        <w:rPr>
          <w:rFonts w:ascii="David" w:cs="David" w:eastAsia="David" w:hAnsi="David"/>
          <w:b/>
          <w:bCs/>
          <w:i w:val="false"/>
          <w:iCs w:val="false"/>
          <w:sz w:val="28"/>
          <w:szCs w:val="28"/>
          <w:rtl/>
        </w:rPr>
        <w:t xml:space="preserve">שאלה 1: מקור טקסטואלי לדברים בפני קבוצה</w:t>
      </w:r>
    </w:p>
    <w:p>
      <w:pPr>
        <w:bidi/>
        <w:spacing w:after="60" w:before="120" w:line="360" w:lineRule="auto"/>
        <w:jc w:val="right"/>
      </w:pPr>
      <w:r>
        <w:rPr>
          <w:rFonts w:ascii="David" w:cs="David" w:eastAsia="David" w:hAnsi="David"/>
          <w:b/>
          <w:bCs/>
          <w:i w:val="false"/>
          <w:iCs w:val="false"/>
          <w:sz w:val="24"/>
          <w:szCs w:val="24"/>
          <w:rtl/>
        </w:rPr>
        <w:t xml:space="preserve">א. הטקסט הנבחר</w:t>
      </w:r>
    </w:p>
    <w:p>
      <w:pPr>
        <w:bidi/>
        <w:spacing w:after="120" w:line="360" w:lineRule="auto"/>
        <w:jc w:val="both"/>
      </w:pPr>
      <w:r>
        <w:rPr>
          <w:rFonts w:ascii="David" w:cs="David" w:eastAsia="David" w:hAnsi="David"/>
          <w:b w:val="false"/>
          <w:bCs w:val="false"/>
          <w:i w:val="false"/>
          <w:iCs w:val="false"/>
          <w:sz w:val="24"/>
          <w:szCs w:val="24"/>
          <w:rtl/>
        </w:rPr>
        <w:t xml:space="preserve">בחרתי לשאת דברים בפני צוות שאני שותף בהובלתו, בפתיחתו של תהליך ארוך־טווח, ולבסס אותם על אגדת חוני המעגל ונוטע החרוב, מתוך התלמוד הבבלי, מסכת תענית דף כג ע"א:</w:t>
      </w:r>
    </w:p>
    <w:p>
      <w:pPr>
        <w:bidi/>
        <w:spacing w:after="120" w:line="360" w:lineRule="auto"/>
        <w:ind w:left="567" w:right="567"/>
        <w:jc w:val="both"/>
      </w:pPr>
      <w:r>
        <w:rPr>
          <w:rFonts w:ascii="David" w:cs="David" w:eastAsia="David" w:hAnsi="David"/>
          <w:i/>
          <w:iCs/>
          <w:sz w:val="24"/>
          <w:szCs w:val="24"/>
          <w:rtl/>
        </w:rPr>
        <w:t xml:space="preserve">יומא חד הוה אזל באורחא, חזייה לההוא גברא דהוה נטע חרובא. אמר ליה: האי, עד כמה שנין טעין? אמר ליה: עד שבעין שנין. אמר ליה: פשיטא לך דחיית שבעין שנין? אמר ליה: האי גברא עלמא בחרובא אשכחתיה; כי היכי דשתלי לי אבהתי – שתלי נמי לבנאי.</w:t>
      </w:r>
    </w:p>
    <w:p>
      <w:pPr>
        <w:bidi/>
        <w:spacing w:after="120" w:line="360" w:lineRule="auto"/>
        <w:jc w:val="both"/>
      </w:pPr>
      <w:r>
        <w:rPr>
          <w:rFonts w:ascii="David" w:cs="David" w:eastAsia="David" w:hAnsi="David"/>
          <w:b w:val="false"/>
          <w:bCs w:val="false"/>
          <w:i w:val="false"/>
          <w:iCs w:val="false"/>
          <w:sz w:val="24"/>
          <w:szCs w:val="24"/>
          <w:rtl/>
        </w:rPr>
        <w:t xml:space="preserve">ובתרגום לעברית: יום אחד היה חוני המעגל מהלך בדרך, וראה אדם נוטע עץ חרוב. שאל אותו: עץ זה – בעוד כמה שנים יישא פירות? ענה לו: בעוד שבעים שנה. אמר לו חוני: וכי ברור לך שתחיה שבעים שנה ותזכה לאכול מפירותיו? השיב לו הנוטע: אני מצאתי את העולם מלא עצי חרוב; כשם שנטעו אבותיי בשבילי – כך אני נוטע בשביל בניי. בהמשך הסיפור נרדם חוני שבעים שנה, וכשהוא מתעורר הוא רואה את נכדו של הנוטע מלקט חרובים מאותו העץ.</w:t>
      </w:r>
    </w:p>
    <w:p>
      <w:pPr>
        <w:bidi/>
        <w:spacing w:after="60" w:before="120" w:line="360" w:lineRule="auto"/>
        <w:jc w:val="right"/>
      </w:pPr>
      <w:r>
        <w:rPr>
          <w:rFonts w:ascii="David" w:cs="David" w:eastAsia="David" w:hAnsi="David"/>
          <w:b/>
          <w:bCs/>
          <w:i w:val="false"/>
          <w:iCs w:val="false"/>
          <w:sz w:val="24"/>
          <w:szCs w:val="24"/>
          <w:rtl/>
        </w:rPr>
        <w:t xml:space="preserve">ב. תיאור הטקסט</w:t>
      </w:r>
    </w:p>
    <w:p>
      <w:pPr>
        <w:bidi/>
        <w:spacing w:after="120" w:line="360" w:lineRule="auto"/>
        <w:jc w:val="both"/>
      </w:pPr>
      <w:r>
        <w:rPr>
          <w:rFonts w:ascii="David" w:cs="David" w:eastAsia="David" w:hAnsi="David"/>
          <w:b w:val="false"/>
          <w:bCs w:val="false"/>
          <w:i w:val="false"/>
          <w:iCs w:val="false"/>
          <w:sz w:val="24"/>
          <w:szCs w:val="24"/>
          <w:rtl/>
        </w:rPr>
        <w:t xml:space="preserve">מקור הסיפור בתלמוד הבבלי, במסכת תענית, בתוך רצף של אגדות העוסקות בחוני המעגל. הדמות המרכזית היא חוני המעגל, חכם ואיש מופת מסוף ימי הבית השני, המוכר ממשנה תענית (פרק ג, משנה ח) כמי שעג עוגה ועמד בתוכה עד שירדו גשמים. הדמות השנייה היא אדם פשוט ואלמוני – נוטע החרוב. הסיטואציה המתוארת היא מפגש אקראי בדרך: החכם הגדול, שרגיל שתפילותיו נענות מיד, פוגש אדם עובד אדמה המשקיע את זמנו ומרצו במעשה שאת פירותיו לא יראה לעולם, ודווקא האיש הפשוט הוא שמלמד את החכם שיעור על אמונה, על סבלנות ועל אחריות בין־דורית.</w:t>
      </w:r>
    </w:p>
    <w:p>
      <w:pPr>
        <w:bidi/>
        <w:spacing w:after="60" w:before="120" w:line="360" w:lineRule="auto"/>
        <w:jc w:val="right"/>
      </w:pPr>
      <w:r>
        <w:rPr>
          <w:rFonts w:ascii="David" w:cs="David" w:eastAsia="David" w:hAnsi="David"/>
          <w:b/>
          <w:bCs/>
          <w:i w:val="false"/>
          <w:iCs w:val="false"/>
          <w:sz w:val="24"/>
          <w:szCs w:val="24"/>
          <w:rtl/>
        </w:rPr>
        <w:t xml:space="preserve">ג. מדוע הטקסט מתאים ורלוונטי</w:t>
      </w:r>
    </w:p>
    <w:p>
      <w:pPr>
        <w:bidi/>
        <w:spacing w:after="120" w:line="360" w:lineRule="auto"/>
        <w:jc w:val="both"/>
      </w:pPr>
      <w:r>
        <w:rPr>
          <w:rFonts w:ascii="David" w:cs="David" w:eastAsia="David" w:hAnsi="David"/>
          <w:b w:val="false"/>
          <w:bCs w:val="false"/>
          <w:i w:val="false"/>
          <w:iCs w:val="false"/>
          <w:sz w:val="24"/>
          <w:szCs w:val="24"/>
          <w:rtl/>
        </w:rPr>
        <w:t xml:space="preserve">הטקסט מתאים לדעתי לכל קבוצה הנמצאת בתחילתה של עשייה שפירותיה אינם מיידיים – צוות חינוכי, קהילה או פרויקט חברתי. ראשית, הוא מציב את המסר המרכזי שברצוני לחדד: עשייה משמעותית אינה נמדדת בתוצאה מיידית, ומנהיגות אמיתית היא נכונות "לנטוע" גם כשמישהו אחר יקטוף. שנית, הוא מזכיר לנו ענווה והכרת הטוב – אנחנו עצמנו אוכלים מפירות שנטעו קודמינו, ומכאן חובתנו כלפי הבאים אחרינו. שלישית, יש בו היפוך מפתיע שכוחו הרטורי רב: דווקא האדם הפשוט מלמד את החכם, ומכאן שכל חבר בקבוצה, ולא רק העומד בראשה, יכול להיות מקור להשראה. סיפור קצר, מוחשי ומצויר היטב כזה נחקק בזיכרון השומעים הרבה יותר מכל נאום מופשט.</w:t>
      </w:r>
    </w:p>
    <w:p>
      <w:pPr>
        <w:bidi/>
        <w:spacing w:after="120" w:before="240" w:line="360" w:lineRule="auto"/>
        <w:jc w:val="right"/>
      </w:pPr>
      <w:r>
        <w:rPr>
          <w:rFonts w:ascii="David" w:cs="David" w:eastAsia="David" w:hAnsi="David"/>
          <w:b/>
          <w:bCs/>
          <w:i w:val="false"/>
          <w:iCs w:val="false"/>
          <w:sz w:val="28"/>
          <w:szCs w:val="28"/>
          <w:rtl/>
        </w:rPr>
        <w:t xml:space="preserve">שאלה 2: החיבור המשמעותי ביותר בתקופת חז"ל – המשנה</w:t>
      </w:r>
    </w:p>
    <w:p>
      <w:pPr>
        <w:bidi/>
        <w:spacing w:after="60" w:before="120" w:line="360" w:lineRule="auto"/>
        <w:jc w:val="right"/>
      </w:pPr>
      <w:r>
        <w:rPr>
          <w:rFonts w:ascii="David" w:cs="David" w:eastAsia="David" w:hAnsi="David"/>
          <w:b/>
          <w:bCs/>
          <w:i w:val="false"/>
          <w:iCs w:val="false"/>
          <w:sz w:val="24"/>
          <w:szCs w:val="24"/>
          <w:rtl/>
        </w:rPr>
        <w:t xml:space="preserve">א. תיאור החיבור</w:t>
      </w:r>
    </w:p>
    <w:p>
      <w:pPr>
        <w:bidi/>
        <w:spacing w:after="120" w:line="360" w:lineRule="auto"/>
        <w:jc w:val="both"/>
      </w:pPr>
      <w:r>
        <w:rPr>
          <w:rFonts w:ascii="David" w:cs="David" w:eastAsia="David" w:hAnsi="David"/>
          <w:b w:val="false"/>
          <w:bCs w:val="false"/>
          <w:i w:val="false"/>
          <w:iCs w:val="false"/>
          <w:sz w:val="24"/>
          <w:szCs w:val="24"/>
          <w:rtl/>
        </w:rPr>
        <w:t xml:space="preserve">החיבור המשמעותי ביותר בעיניי מתקופת חז"ל הוא המשנה. המשנה נערכה ונחתמה בארץ ישראל בסביבות שנת 200 לספירה בידי רבי יהודה הנשיא ("רבי"), והיא שיאו של מפעל איסוף ועריכה שנמשך דורות – ממסורות בית הלל ובית שמאי, דרך משנתו של רבי עקיבא ותלמידו רבי מאיר, ועד לעריכה הסופית. מאפייניה הבולטים: היא כתובה בעברית ייחודית ("לשון חכמים"); היא מסודרת סידור ענייני־נושאי בשישה סדרים (זרעים, מועד, נשים, נזיקין, קדשים, טהרות) המתחלקים לשישים ושלוש מסכתות – ולא לפי סדר פסוקי המקרא; לשונה קצרה, פסקנית ומנוסחת לשינון; והיא משמרת בצד ההכרעות גם מחלוקות ודעות יחיד בשם אומריהן.</w:t>
      </w:r>
    </w:p>
    <w:p>
      <w:pPr>
        <w:bidi/>
        <w:spacing w:after="60" w:before="120" w:line="360" w:lineRule="auto"/>
        <w:jc w:val="right"/>
      </w:pPr>
      <w:r>
        <w:rPr>
          <w:rFonts w:ascii="David" w:cs="David" w:eastAsia="David" w:hAnsi="David"/>
          <w:b/>
          <w:bCs/>
          <w:i w:val="false"/>
          <w:iCs w:val="false"/>
          <w:sz w:val="24"/>
          <w:szCs w:val="24"/>
          <w:rtl/>
        </w:rPr>
        <w:t xml:space="preserve">ב. משמעות החיבור והשינוי שחולל</w:t>
      </w:r>
    </w:p>
    <w:p>
      <w:pPr>
        <w:bidi/>
        <w:spacing w:after="120" w:line="360" w:lineRule="auto"/>
        <w:jc w:val="both"/>
      </w:pPr>
      <w:r>
        <w:rPr>
          <w:rFonts w:ascii="David" w:cs="David" w:eastAsia="David" w:hAnsi="David"/>
          <w:b w:val="false"/>
          <w:bCs w:val="false"/>
          <w:i w:val="false"/>
          <w:iCs w:val="false"/>
          <w:sz w:val="24"/>
          <w:szCs w:val="24"/>
          <w:rtl/>
        </w:rPr>
        <w:t xml:space="preserve">המשנה היא החיבור הראשון שהעלה את התורה שבעל־פה מאוסף מסורות מפוזרות לכדי קורפוס ערוך, מוסכם ומחייב. השינוי שחוללה הוא כפול. ראשית, בעקבות חורבן הבית ואובדן המרכז הפולחני, המשנה העמידה במרכז החיים הדתיים את לימוד הטקסט ואת בית המדרש: מעתה הסמכות הדתית אינה שוכנת במקדש ובכהונה אלא בידי החכמים, הנקנית בלימוד ובמסירה. שנית, המשנה יצרה "שפה משותפת" לעם כולו: היא הפכה לטקסט היסוד שסביבו נבנו שני התלמודים – הבבלי והירושלמי – וכל ספרות ההלכה שאחריהם, עד ימינו. נוסף על כך, בעצם שימור המחלוקות ודעות היחיד, קיבעה המשנה את עקרון המחלוקת הלגיטימית כחלק ממהות התורה שבעל־פה – רעיון מהפכני שעיצב את תרבות הלימוד היהודית לדורות.</w:t>
      </w:r>
    </w:p>
    <w:p>
      <w:pPr>
        <w:bidi/>
        <w:spacing w:after="60" w:before="120" w:line="360" w:lineRule="auto"/>
        <w:jc w:val="right"/>
      </w:pPr>
      <w:r>
        <w:rPr>
          <w:rFonts w:ascii="David" w:cs="David" w:eastAsia="David" w:hAnsi="David"/>
          <w:b/>
          <w:bCs/>
          <w:i w:val="false"/>
          <w:iCs w:val="false"/>
          <w:sz w:val="24"/>
          <w:szCs w:val="24"/>
          <w:rtl/>
        </w:rPr>
        <w:t xml:space="preserve">ג. דוגמה מתוך החיבור</w:t>
      </w:r>
    </w:p>
    <w:p>
      <w:pPr>
        <w:bidi/>
        <w:spacing w:after="120" w:line="360" w:lineRule="auto"/>
        <w:jc w:val="both"/>
      </w:pPr>
      <w:r>
        <w:rPr>
          <w:rFonts w:ascii="David" w:cs="David" w:eastAsia="David" w:hAnsi="David"/>
          <w:b w:val="false"/>
          <w:bCs w:val="false"/>
          <w:i w:val="false"/>
          <w:iCs w:val="false"/>
          <w:sz w:val="24"/>
          <w:szCs w:val="24"/>
          <w:rtl/>
        </w:rPr>
        <w:t xml:space="preserve">דוגמה הממחישה את המהלך הזה היא המשנה הפותחת את מסכת אבות (פרק א, משנה א):</w:t>
      </w:r>
    </w:p>
    <w:p>
      <w:pPr>
        <w:bidi/>
        <w:spacing w:after="120" w:line="360" w:lineRule="auto"/>
        <w:ind w:left="567" w:right="567"/>
        <w:jc w:val="both"/>
      </w:pPr>
      <w:r>
        <w:rPr>
          <w:rFonts w:ascii="David" w:cs="David" w:eastAsia="David" w:hAnsi="David"/>
          <w:i/>
          <w:iCs/>
          <w:sz w:val="24"/>
          <w:szCs w:val="24"/>
          <w:rtl/>
        </w:rPr>
        <w:t xml:space="preserve">"משה קיבל תורה מסיני, ומסרהּ ליהושע, ויהושע לזקנים, וזקנים לנביאים, ונביאים מסרוה לאנשי כנסת הגדולה. הם אמרו שלושה דברים: הוו מתונים בדין, והעמידו תלמידים הרבה, ועשו סייג לתורה."</w:t>
      </w:r>
    </w:p>
    <w:p>
      <w:pPr>
        <w:bidi/>
        <w:spacing w:after="120" w:line="360" w:lineRule="auto"/>
        <w:jc w:val="both"/>
      </w:pPr>
      <w:r>
        <w:rPr>
          <w:rFonts w:ascii="David" w:cs="David" w:eastAsia="David" w:hAnsi="David"/>
          <w:b w:val="false"/>
          <w:bCs w:val="false"/>
          <w:i w:val="false"/>
          <w:iCs w:val="false"/>
          <w:sz w:val="24"/>
          <w:szCs w:val="24"/>
          <w:rtl/>
        </w:rPr>
        <w:t xml:space="preserve">משנה זו מנסחת את שלשלת המסירה של התורה שבעל־פה, ובאופן מכוון היא מדלגת על הכהונה ועל המלוכה: החוליות בשרשרת הן משה, יהושע, הזקנים, הנביאים ואנשי כנסת הגדולה – שהחכמים רואים עצמם כממשיכיהם הישירים. זהו בדיוק השינוי שחוללה המשנה: היא מעניקה לגיטימציה לסמכות החכמים ולתורה שבעל־פה עצמה, ומעבירה את מוקד הכובד מן המקדש והכהונה אל בית המדרש, אל הרב ואל תלמידיו ("והעמידו תלמידים הרבה").</w:t>
      </w:r>
    </w:p>
    <w:p>
      <w:pPr>
        <w:bidi/>
        <w:spacing w:after="120" w:before="240" w:line="360" w:lineRule="auto"/>
        <w:jc w:val="right"/>
      </w:pPr>
      <w:r>
        <w:rPr>
          <w:rFonts w:ascii="David" w:cs="David" w:eastAsia="David" w:hAnsi="David"/>
          <w:b/>
          <w:bCs/>
          <w:i w:val="false"/>
          <w:iCs w:val="false"/>
          <w:sz w:val="28"/>
          <w:szCs w:val="28"/>
          <w:rtl/>
        </w:rPr>
        <w:t xml:space="preserve">שאלה 3: הקטע מתוך הסרט "אגדת חורבן"</w:t>
      </w:r>
    </w:p>
    <w:p>
      <w:pPr>
        <w:bidi/>
        <w:spacing w:after="60" w:before="120" w:line="360" w:lineRule="auto"/>
        <w:jc w:val="right"/>
      </w:pPr>
      <w:r>
        <w:rPr>
          <w:rFonts w:ascii="David" w:cs="David" w:eastAsia="David" w:hAnsi="David"/>
          <w:b/>
          <w:bCs/>
          <w:i w:val="false"/>
          <w:iCs w:val="false"/>
          <w:sz w:val="24"/>
          <w:szCs w:val="24"/>
          <w:rtl/>
        </w:rPr>
        <w:t xml:space="preserve">א. המדרש שעליו מבוסס הקטע</w:t>
      </w:r>
    </w:p>
    <w:p>
      <w:pPr>
        <w:bidi/>
        <w:spacing w:after="120" w:line="360" w:lineRule="auto"/>
        <w:jc w:val="both"/>
      </w:pPr>
      <w:r>
        <w:rPr>
          <w:rFonts w:ascii="David" w:cs="David" w:eastAsia="David" w:hAnsi="David"/>
          <w:b w:val="false"/>
          <w:bCs w:val="false"/>
          <w:i w:val="false"/>
          <w:iCs w:val="false"/>
          <w:sz w:val="24"/>
          <w:szCs w:val="24"/>
          <w:rtl/>
        </w:rPr>
        <w:t xml:space="preserve">הקטע מבוסס על אגדת קמצא ובר קמצא, סיפור החורבן המפורסם שבתלמוד הבבלי, מסכת גיטין דף נה ע"ב – נו ע"א:</w:t>
      </w:r>
    </w:p>
    <w:p>
      <w:pPr>
        <w:bidi/>
        <w:spacing w:after="120" w:line="360" w:lineRule="auto"/>
        <w:ind w:left="567" w:right="567"/>
        <w:jc w:val="both"/>
      </w:pPr>
      <w:r>
        <w:rPr>
          <w:rFonts w:ascii="David" w:cs="David" w:eastAsia="David" w:hAnsi="David"/>
          <w:i/>
          <w:iCs/>
          <w:sz w:val="24"/>
          <w:szCs w:val="24"/>
          <w:rtl/>
        </w:rPr>
        <w:t xml:space="preserve">"אקמצא ובר קמצא חרוב ירושלים... ההוא גברא דרחמיה קמצא ובעל דבביה בר קמצא, עבד סעודתא. אמר ליה לשמעיה: זיל אייתי לי קמצא. אזל אייתי ליה בר קמצא. אתא, אשכחיה דהוה יתיב. אמר ליה: ...קום פוק! אמר ליה: הואיל ואתאי – שבקן, ויהיבנא לך דמי מה דאכילנא ושתינא... יהיבנא לך דמי פלגא דסעודתיך... יהיבנא לך דמי כולה סעודתיך! ...נקטיה בידיה ואוקמיה ואפקיה. אמר: הואיל והוו יתבי רבנן ולא מחו ביה – שמע מינה קא ניחא להו; איזיל איכול בהו קורצא בי מלכא."</w:t>
      </w:r>
    </w:p>
    <w:p>
      <w:pPr>
        <w:bidi/>
        <w:spacing w:after="120" w:line="360" w:lineRule="auto"/>
        <w:jc w:val="both"/>
      </w:pPr>
      <w:r>
        <w:rPr>
          <w:rFonts w:ascii="David" w:cs="David" w:eastAsia="David" w:hAnsi="David"/>
          <w:b w:val="false"/>
          <w:bCs w:val="false"/>
          <w:i w:val="false"/>
          <w:iCs w:val="false"/>
          <w:sz w:val="24"/>
          <w:szCs w:val="24"/>
          <w:rtl/>
        </w:rPr>
        <w:t xml:space="preserve">ובתרגום: בגלל קמצא ובר קמצא חרבה ירושלים. מעשה באדם שאוהבו נקרא קמצא ושונאו בר קמצא, שעשה סעודה ואמר לשמשו: לך הבא לי את קמצא. הלך השמש והביא בטעות את בר קמצא. כשמצאו המארח יושב בסעודה, ציווה עליו לקום ולצאת. ביקש בר קמצא: הואיל ובאתי – הניחני, ואשלם לך את דמי מה שאוכל ואשתה; ואף את דמי חצי הסעודה; ואף את דמי הסעודה כולה. המארח סירב, אחז בו והוציאו בבושת פנים. אמר בר קמצא: הואיל וישבו שם חכמים ולא מיחו בו – משמע שהדבר נוח להם; אלך ואלשין עליהם לפני הקיסר. מכאן מתגלגל הסיפור אל הקרבן ששלח הקיסר, אל המום שהטיל בו בר קמצא, ואל הכרעת החכמים שלא להקריבו – שעליה נאמר: "ענוותנותו של רבי זכריה בן אבקולס החריבה את ביתנו".</w:t>
      </w:r>
    </w:p>
    <w:p>
      <w:pPr>
        <w:bidi/>
        <w:spacing w:after="60" w:before="120" w:line="360" w:lineRule="auto"/>
        <w:jc w:val="right"/>
      </w:pPr>
      <w:r>
        <w:rPr>
          <w:rFonts w:ascii="David" w:cs="David" w:eastAsia="David" w:hAnsi="David"/>
          <w:b/>
          <w:bCs/>
          <w:i w:val="false"/>
          <w:iCs w:val="false"/>
          <w:sz w:val="24"/>
          <w:szCs w:val="24"/>
          <w:rtl/>
        </w:rPr>
        <w:t xml:space="preserve">ב. בין המדרש לסרט – דמיונות והבדלים</w:t>
      </w:r>
    </w:p>
    <w:p>
      <w:pPr>
        <w:bidi/>
        <w:spacing w:after="120" w:line="360" w:lineRule="auto"/>
        <w:jc w:val="both"/>
      </w:pPr>
      <w:r>
        <w:rPr>
          <w:rFonts w:ascii="David" w:cs="David" w:eastAsia="David" w:hAnsi="David"/>
          <w:b w:val="false"/>
          <w:bCs w:val="false"/>
          <w:i w:val="false"/>
          <w:iCs w:val="false"/>
          <w:sz w:val="24"/>
          <w:szCs w:val="24"/>
          <w:rtl/>
        </w:rPr>
        <w:t xml:space="preserve">שלושה דמיונות: (1) הסרט נאמן לשלד העלילה של האגדה – טעות השליח בין קמצא לבר קמצא, גילוי האורח הלא־רצוי בסעודה וגירושו המשפיל; (2) שלוש הצעותיו המדורגות של בר קמצא – לשלם על מה שיאכל, על חצי הסעודה ועל כולה – מופיעות בסרט כלשונן, והן שמעצימות את אכזריות הסירוב; (3) שתיקת החכמים המסובים בסעודה, שאינם מוחים, היא בסרט כמו במדרש הרגע המכריע שמוליד את ההלשנה לשלטון הרומי ואת שרשרת האירועים המובילה לחורבן.</w:t>
      </w:r>
    </w:p>
    <w:p>
      <w:pPr>
        <w:bidi/>
        <w:spacing w:after="120" w:line="360" w:lineRule="auto"/>
        <w:jc w:val="both"/>
      </w:pPr>
      <w:r>
        <w:rPr>
          <w:rFonts w:ascii="David" w:cs="David" w:eastAsia="David" w:hAnsi="David"/>
          <w:b w:val="false"/>
          <w:bCs w:val="false"/>
          <w:i w:val="false"/>
          <w:iCs w:val="false"/>
          <w:sz w:val="24"/>
          <w:szCs w:val="24"/>
          <w:rtl/>
        </w:rPr>
        <w:t xml:space="preserve">שלושה הבדלים: (1) הטקסט התלמודי לקוני ואנונימי – בעל הסעודה אינו נקרא בשם ואיננו יודעים דבר על רקע האיבה; הסרט, לעומת זאת, מעניק לדמויות פנים, שמות ומניעים, ושוזר את הסעודה בתוך עלילה רחבה של ירושלים ערב המרד – הקנאים, העשירים והמנהיגות; (2) אמצעי המבע שונה בתכלית: המדרש הוא טקסט מילולי חסכני, ואילו הסרט מספר את הסיפור באנימציה ייחודית המבוססת על ציורי אמנות קלאסיים, ומוסיף מוזיקה, קול ודיאלוגים שאינם במקור; (3) מוקד האשמה: המדרש מדגיש את האחריות הדתית־מנהיגותית ("ענוותנותו של רבי זכריה בן אבקולס"), ואילו הסרט מבליט את הפער החברתי־מעמדי בין עשירי ירושלים הסועדים לבין העם, ואת ההקשר הפוליטי של ערב החורבן.</w:t>
      </w:r>
    </w:p>
    <w:p>
      <w:pPr>
        <w:bidi/>
        <w:spacing w:after="60" w:before="120" w:line="360" w:lineRule="auto"/>
        <w:jc w:val="right"/>
      </w:pPr>
      <w:r>
        <w:rPr>
          <w:rFonts w:ascii="David" w:cs="David" w:eastAsia="David" w:hAnsi="David"/>
          <w:b/>
          <w:bCs/>
          <w:i w:val="false"/>
          <w:iCs w:val="false"/>
          <w:sz w:val="24"/>
          <w:szCs w:val="24"/>
          <w:rtl/>
        </w:rPr>
        <w:t xml:space="preserve">ג. הסבר המדרש לאור המאמר מן הסילבוס</w:t>
      </w:r>
    </w:p>
    <w:p>
      <w:pPr>
        <w:bidi/>
        <w:spacing w:after="120" w:line="360" w:lineRule="auto"/>
        <w:jc w:val="both"/>
      </w:pPr>
      <w:r>
        <w:rPr>
          <w:rFonts w:ascii="David" w:cs="David" w:eastAsia="David" w:hAnsi="David"/>
          <w:b w:val="false"/>
          <w:bCs w:val="false"/>
          <w:i w:val="false"/>
          <w:iCs w:val="false"/>
          <w:sz w:val="24"/>
          <w:szCs w:val="24"/>
          <w:rtl/>
        </w:rPr>
        <w:t xml:space="preserve">על פי המאמר שנלמד בקורס על אגדות החורבן [להשלים את שם המאמר מן הסילבוס], יש לקרוא את הסיפור לא כתיאור היסטורי של סיבת החורבן אלא כסיפור מכונן שבו חז"ל עורכים חשבון נפש פנימי. האשמה בסיפור אינה מופנית כלפי רומא וכוחה הצבאי – הרומאים כמעט שאינם נוכחים בו – אלא כלפי החברה היהודית עצמה: המארח שאינו מסוגל למחול, בר קמצא שכבודו הפגוע יקר לו מגורל עמו, והחכמים היושבים ושותקים. הביקורת החריפה ביותר מופנית דווקא כלפי עולמם של חז"ל עצמם: "הוו יתבי רבנן ולא מחו" – מנהיגות רוחנית שנכשלה בשעת מבחן מוסרית, ובהמשך גם נכשלה בהכרעה ההלכתית, כשהזהירות הפורמלית של רבי זכריה בן אבקולס גברה על שיקול הדעת ההצלתי. כך הופך הסיפור למדרש של אחריות: החורבן איננו גזירת גורל חיצונית אלא תוצר של שנאת חינם, של השפלה פומבית ושל שתיקת הרואים.</w:t>
      </w:r>
    </w:p>
    <w:p>
      <w:pPr>
        <w:bidi/>
        <w:spacing w:after="60" w:before="120" w:line="360" w:lineRule="auto"/>
        <w:jc w:val="right"/>
      </w:pPr>
      <w:r>
        <w:rPr>
          <w:rFonts w:ascii="David" w:cs="David" w:eastAsia="David" w:hAnsi="David"/>
          <w:b/>
          <w:bCs/>
          <w:i w:val="false"/>
          <w:iCs w:val="false"/>
          <w:sz w:val="24"/>
          <w:szCs w:val="24"/>
          <w:rtl/>
        </w:rPr>
        <w:t xml:space="preserve">ד. משמעות המדרש לימינו</w:t>
      </w:r>
    </w:p>
    <w:p>
      <w:pPr>
        <w:bidi/>
        <w:spacing w:after="120" w:line="360" w:lineRule="auto"/>
        <w:jc w:val="both"/>
      </w:pPr>
      <w:r>
        <w:rPr>
          <w:rFonts w:ascii="David" w:cs="David" w:eastAsia="David" w:hAnsi="David"/>
          <w:b w:val="false"/>
          <w:bCs w:val="false"/>
          <w:i w:val="false"/>
          <w:iCs w:val="false"/>
          <w:sz w:val="24"/>
          <w:szCs w:val="24"/>
          <w:rtl/>
        </w:rPr>
        <w:t xml:space="preserve">המדרש הזה הוא לדעתי הנלמד ביותר עד ימינו משום שהוא מעביר את שאלת החורבן מן המישור הצבאי־פוליטי אל המישור שבו לכל אדם יש אחריות: יחסים בין אדם לחברו. המסר שלו על־זמני – חברה שבה השפלה פומבית אפשרית, שבה שנאה אישית גוברת על טובת הכלל, ושבה הרוב הצופה שותק, היא חברה המכלה את עצמה מבפנים, גם בלא אויב חיצוני. בעידן של שיח ציבורי מקוטב ושל "סעודות" וירטואליות שבהן קל להשפיל אדם לעיני כול, השאלה "היכן היו היושבים ולמה לא מיחו" נוקבת מתמיד. הסיפור נלמד מדי שנה בתשעה באב ובמערכת החינוך דווקא משום שהוא אינו מרשיע את "האחר" אלא מציב מראה: החורבן מתחיל בסעודה אחת, בעלבון אחד, בשתיקה אחת.</w:t>
      </w:r>
    </w:p>
    <w:p>
      <w:pPr>
        <w:bidi/>
        <w:spacing w:after="120" w:before="240" w:line="360" w:lineRule="auto"/>
        <w:jc w:val="right"/>
      </w:pPr>
      <w:r>
        <w:rPr>
          <w:rFonts w:ascii="David" w:cs="David" w:eastAsia="David" w:hAnsi="David"/>
          <w:b/>
          <w:bCs/>
          <w:i w:val="false"/>
          <w:iCs w:val="false"/>
          <w:sz w:val="28"/>
          <w:szCs w:val="28"/>
          <w:rtl/>
        </w:rPr>
        <w:t xml:space="preserve">שאלה 4: ניתוח מקור – תחילתו של רבי אליעזר בן הורקנוס</w:t>
      </w:r>
    </w:p>
    <w:p>
      <w:pPr>
        <w:bidi/>
        <w:spacing w:after="120" w:line="360" w:lineRule="auto"/>
        <w:jc w:val="both"/>
      </w:pPr>
      <w:r>
        <w:rPr>
          <w:rFonts w:ascii="David" w:cs="David" w:eastAsia="David" w:hAnsi="David"/>
          <w:b w:val="false"/>
          <w:bCs w:val="false"/>
          <w:i w:val="false"/>
          <w:iCs w:val="false"/>
          <w:sz w:val="24"/>
          <w:szCs w:val="24"/>
          <w:rtl/>
        </w:rPr>
        <w:t xml:space="preserve">בחרתי במקור הראשון: סיפור תחילתו של רבי אליעזר בן הורקנוס (פרקי דרבי אליעזר, פרקים א–ב; ומקבילות באבות דרבי נתן נוסח א ובמדרשים נוספים).</w:t>
      </w:r>
    </w:p>
    <w:p>
      <w:pPr>
        <w:bidi/>
        <w:spacing w:after="60" w:before="120" w:line="360" w:lineRule="auto"/>
        <w:jc w:val="right"/>
      </w:pPr>
      <w:r>
        <w:rPr>
          <w:rFonts w:ascii="David" w:cs="David" w:eastAsia="David" w:hAnsi="David"/>
          <w:b/>
          <w:bCs/>
          <w:i w:val="false"/>
          <w:iCs w:val="false"/>
          <w:sz w:val="24"/>
          <w:szCs w:val="24"/>
          <w:rtl/>
        </w:rPr>
        <w:t xml:space="preserve">א. הסבר הטקסט במילותיי</w:t>
      </w:r>
    </w:p>
    <w:p>
      <w:pPr>
        <w:bidi/>
        <w:spacing w:after="120" w:line="360" w:lineRule="auto"/>
        <w:jc w:val="both"/>
      </w:pPr>
      <w:r>
        <w:rPr>
          <w:rFonts w:ascii="David" w:cs="David" w:eastAsia="David" w:hAnsi="David"/>
          <w:b w:val="false"/>
          <w:bCs w:val="false"/>
          <w:i w:val="false"/>
          <w:iCs w:val="false"/>
          <w:sz w:val="24"/>
          <w:szCs w:val="24"/>
          <w:rtl/>
        </w:rPr>
        <w:t xml:space="preserve">הסיפור מתאר את ראשית דרכו של מי שיהיה מגדולי התנאים. אליעזר הוא בן עשרים ושתיים שלא למד תורה מעולם, בן לאב עשיר בעל שדות רבים. בעוד אחיו חורשים באדמה הפורייה ("על גבי המענה"), הוא נשלח לחרוש בקרקע הקשה, בטרשים – והוא יושב ובוכה. אביו סבור שהבכי הוא על תנאי העבודה ומיטיב עמו, אך הבכי נמשך, שכן מקורו אחר לגמרי: כמיהה ללמוד תורה. אליעזר עוזב את בית אביו ואת עושרו ובא לפני רבן יוחנן בן זכאי, שם הוא מודה בבושה שלא למד דבר מימיו, ומתחיל מבראשית – קריאת שמע, תפילה, ברכת המזון ושתי הלכות ביום – תוך מסירות קיצונית, עד כדי שמונה ימים בלא אוכל. שיא הסיפור בהיפוך הגמור: הבור שלא ידע דבר עומד ודורש "דברים שלא שמעתם אוזן מעולם", פניו מאירות כאור החמה וקרניו יוצאות כקרנותיו של משה. רבן יוחנן בן זכאי מנשקו על ראשו וקורא: "אשריכם אברהם יצחק ויעקב שיצא זה מחלציכם!" – והורקנוס האב, שנכח במעמד, מתקן: "אשרי אני שיצא זה מחלצי", ובכך מבטא את היפוך לבו: מאב שבנו נראה לו כפחוּת שבבניו, לאב המתגאה בו יותר מכול.</w:t>
      </w:r>
    </w:p>
    <w:p>
      <w:pPr>
        <w:bidi/>
        <w:spacing w:after="60" w:before="120" w:line="360" w:lineRule="auto"/>
        <w:jc w:val="right"/>
      </w:pPr>
      <w:r>
        <w:rPr>
          <w:rFonts w:ascii="David" w:cs="David" w:eastAsia="David" w:hAnsi="David"/>
          <w:b/>
          <w:bCs/>
          <w:i w:val="false"/>
          <w:iCs w:val="false"/>
          <w:sz w:val="24"/>
          <w:szCs w:val="24"/>
          <w:rtl/>
        </w:rPr>
        <w:t xml:space="preserve">ב. מגמות ומאפיינים של תקופת חז"ל בקטע</w:t>
      </w:r>
    </w:p>
    <w:p>
      <w:pPr>
        <w:bidi/>
        <w:spacing w:after="120" w:line="360" w:lineRule="auto"/>
        <w:jc w:val="both"/>
      </w:pPr>
      <w:r>
        <w:rPr>
          <w:rFonts w:ascii="David" w:cs="David" w:eastAsia="David" w:hAnsi="David"/>
          <w:b w:val="false"/>
          <w:bCs w:val="false"/>
          <w:i w:val="false"/>
          <w:iCs w:val="false"/>
          <w:sz w:val="24"/>
          <w:szCs w:val="24"/>
          <w:rtl/>
        </w:rPr>
        <w:t xml:space="preserve">ראשית, הקטע מבטא את המגמה המרכזית של התקופה: העמדת תלמוד התורה כערך עליון הפתוח לכול. הסמכות והכבוד בעולמם של חז"ל אינם נקנים בייחוס, בגיל או בממון – אליעזר מתחיל ללמוד בגיל עשרים ושתיים, יוצא מבית עשיר דווקא אל חיי רעב, והתורה היא שמעניקה לו את מעמדו. הסיפור אף מעמיד במפגיע את עולם הרכוש (שדות, חרישה, ירושה) מול עולם התורה, ומכריע לטובת האחרון.</w:t>
      </w:r>
    </w:p>
    <w:p>
      <w:pPr>
        <w:bidi/>
        <w:spacing w:after="120" w:line="360" w:lineRule="auto"/>
        <w:jc w:val="both"/>
      </w:pPr>
      <w:r>
        <w:rPr>
          <w:rFonts w:ascii="David" w:cs="David" w:eastAsia="David" w:hAnsi="David"/>
          <w:b w:val="false"/>
          <w:bCs w:val="false"/>
          <w:i w:val="false"/>
          <w:iCs w:val="false"/>
          <w:sz w:val="24"/>
          <w:szCs w:val="24"/>
          <w:rtl/>
        </w:rPr>
        <w:t xml:space="preserve">שנית, ניכרת בקטע מגמת עיצובו של החכם כדמות המופת החדשה, היורשת את דגמי ההנהגה הישנים: תיאורו של אליעזר הדורש – "פניו מאירות כאור החמה וקרנותיו יוצאות כקרנותיו של משה" – שואל במכוון את דמותו של משה היורד מסיני (שמות לד). החכם הדורש בבית המדרש מוצג כממשיכה של ההתגלות עצמה, וחידוש בתורה ("דברים שלא שמעתם אוזן מעולם") נתפס כערך דתי עליון.</w:t>
      </w:r>
    </w:p>
    <w:p>
      <w:pPr>
        <w:bidi/>
        <w:spacing w:after="120" w:line="360" w:lineRule="auto"/>
        <w:jc w:val="both"/>
      </w:pPr>
      <w:r>
        <w:rPr>
          <w:rFonts w:ascii="David" w:cs="David" w:eastAsia="David" w:hAnsi="David"/>
          <w:b w:val="false"/>
          <w:bCs w:val="false"/>
          <w:i w:val="false"/>
          <w:iCs w:val="false"/>
          <w:sz w:val="24"/>
          <w:szCs w:val="24"/>
          <w:rtl/>
        </w:rPr>
        <w:t xml:space="preserve">שלישית, הקטע משקף את התגבשות מוסד בית המדרש ויחסי הרב והתלמיד כמסגרת המרכזית של התקופה: הלימוד מדורג ושיטתי (מקריאת שמע ועד שתי הלכות ביום וחזרה עליהן בשבת), הרב קשוב לתלמידו ואף מריח את ריח פיו של התלמיד המורעב, והקשר ביניהם מתואר במונחים של קרבה משפחתית – נשיקה על הראש – עד שהרב כמו תופס את מקום האב.</w:t>
      </w:r>
    </w:p>
    <w:p>
      <w:pPr>
        <w:bidi/>
        <w:spacing w:after="60" w:before="120" w:line="360" w:lineRule="auto"/>
        <w:jc w:val="right"/>
      </w:pPr>
      <w:r>
        <w:rPr>
          <w:rFonts w:ascii="David" w:cs="David" w:eastAsia="David" w:hAnsi="David"/>
          <w:b/>
          <w:bCs/>
          <w:i w:val="false"/>
          <w:iCs w:val="false"/>
          <w:sz w:val="24"/>
          <w:szCs w:val="24"/>
          <w:rtl/>
        </w:rPr>
        <w:t xml:space="preserve">ג. הרחבה על דמות מן הקטע – רבן יוחנן בן זכאי</w:t>
      </w:r>
    </w:p>
    <w:p>
      <w:pPr>
        <w:bidi/>
        <w:spacing w:after="120" w:line="360" w:lineRule="auto"/>
        <w:jc w:val="both"/>
      </w:pPr>
      <w:r>
        <w:rPr>
          <w:rFonts w:ascii="David" w:cs="David" w:eastAsia="David" w:hAnsi="David"/>
          <w:b w:val="false"/>
          <w:bCs w:val="false"/>
          <w:i w:val="false"/>
          <w:iCs w:val="false"/>
          <w:sz w:val="24"/>
          <w:szCs w:val="24"/>
          <w:rtl/>
        </w:rPr>
        <w:t xml:space="preserve">רבן יוחנן בן זכאי (ריב"ז), רבו של אליעזר בסיפורנו, הוא מגדולי מעצביה של היהדות שלאחר החורבן, ודמותו נלמדה במפגשים ממקורות נוספים. באבות דרבי נתן (נוסח א, פרק ד) מסופר על יציאתו מירושלים הנצורה: כשראה שהקנאים אינם מניחים לצאת מן העיר, הוציאוהו תלמידיו רבי אליעזר ורבי יהושע בארון מתים, וכשהגיע אל אספסיינוס ניבא לו שעתיד הוא למלוך, וביקש ממנו את יבנה וחכמיה. זהו ריב"ז המנהיג הפרגמטי: בשעה שהקנאים בחרו במלחמה עד כלות, הוא בחר להציל את מה שניתן להציל – את עולם התורה – והקים ביבנה את המרכז שממנו קמה היהדות מחורבנה.</w:t>
      </w:r>
    </w:p>
    <w:p>
      <w:pPr>
        <w:bidi/>
        <w:spacing w:after="120" w:line="360" w:lineRule="auto"/>
        <w:jc w:val="both"/>
      </w:pPr>
      <w:r>
        <w:rPr>
          <w:rFonts w:ascii="David" w:cs="David" w:eastAsia="David" w:hAnsi="David"/>
          <w:b w:val="false"/>
          <w:bCs w:val="false"/>
          <w:i w:val="false"/>
          <w:iCs w:val="false"/>
          <w:sz w:val="24"/>
          <w:szCs w:val="24"/>
          <w:rtl/>
        </w:rPr>
        <w:t xml:space="preserve">באותו פרק באבות דרבי נתן מובא גם המעשה המכונן שלאחר החורבן: כשהיה רבי יהושע מצטער על בית המקדש החרב, מקום כפרת עוונותיהם של ישראל, אמר לו ריב"ז: "אל ירע לך – יש לנו כפרה אחת שהיא כמותה: גמילות חסדים, שנאמר כי חסד חפצתי ולא זבח". כאן ריב"ז הוא המנהיג הרוחני של המשבר, שאינו מכחיש את האובדן אלא מתרגם אותו: את עבודת הקרבנות מחליפים החסד, התפילה והלימוד.</w:t>
      </w:r>
    </w:p>
    <w:p>
      <w:pPr>
        <w:bidi/>
        <w:spacing w:after="120" w:line="360" w:lineRule="auto"/>
        <w:jc w:val="both"/>
      </w:pPr>
      <w:r>
        <w:rPr>
          <w:rFonts w:ascii="David" w:cs="David" w:eastAsia="David" w:hAnsi="David"/>
          <w:b w:val="false"/>
          <w:bCs w:val="false"/>
          <w:i w:val="false"/>
          <w:iCs w:val="false"/>
          <w:sz w:val="24"/>
          <w:szCs w:val="24"/>
          <w:rtl/>
        </w:rPr>
        <w:t xml:space="preserve">ולבסוף, במשנה אבות (פרק ב, משניות ח–ט) מצטייר ריב"ז המחנך: "חמישה תלמידים היו לו לרבן יוחנן בן זכאי", והוא מונה את שבחו הייחודי של כל אחד מהם – ובראשם דווקא גיבור סיפורנו: "אליעזר בן הורקנוס – בור סוּד שאינו מאבד טיפה". הרב שידע לקבל אל בית מדרשו בן עשרים ושתיים שלא למד דבר, יודע גם להגדיר במדויק את כישרונו של כל תלמיד. משלושת המקורות עולה דמות אחת עקבית: מנהיג של שעת משבר, המקדים חזון ארוך־טווח לכבוד רגעי, ומחנך הרואה את האדם היחיד – אותה רגישות עצמה שבזכותה הבחין בבכיו של חורש הטרשים והצמיח ממנו את גדול הדור.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2026-07-30T11:00:09.688Z</dcterms:created>
  <dcterms:modified xsi:type="dcterms:W3CDTF">2026-07-30T11:00:09.689Z</dcterms:modified>
</cp:coreProperties>
</file>

<file path=docProps/custom.xml><?xml version="1.0" encoding="utf-8"?>
<Properties xmlns="http://schemas.openxmlformats.org/officeDocument/2006/custom-properties" xmlns:vt="http://schemas.openxmlformats.org/officeDocument/2006/docPropsVTypes"/>
</file>