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ind w:firstLine="480"/>
        <w:jc w:val="both"/>
      </w:pPr>
      <w:r>
        <w:rPr>
          <w:rFonts w:ascii="David" w:hAnsi="David" w:cs="David"/>
          <w:b w:val="0"/>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color w:val="000000"/>
          <w:sz w:val="24"/>
          <w:szCs w:val="24"/>
          <w:rtl w:val="1"/>
        </w:rPr>
        <w:t>4.10 מגבלות המחקר</w:t>
      </w:r>
    </w:p>
    <w:p>
      <w:pPr>
        <w:bidi w:val="1"/>
        <w:spacing w:line="360" w:lineRule="auto"/>
        <w:ind w:firstLine="480"/>
        <w:jc w:val="both"/>
      </w:pPr>
      <w:r>
        <w:rPr>
          <w:rFonts w:ascii="David" w:hAnsi="David" w:cs="David"/>
          <w:b w:val="0"/>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spacing w:line="360" w:lineRule="auto"/>
        <w:jc w:val="center"/>
      </w:pPr>
      <w:r>
        <w:rPr>
          <w:rFonts w:ascii="David" w:hAnsi="David" w:cs="David"/>
          <w:b/>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9360"/>
            <w:gridSpan w:val="6"/>
          </w:tcPr>
          <w:p>
            <w:pPr>
              <w:bidi w:val="1"/>
              <w:spacing w:line="240" w:lineRule="auto"/>
              <w:jc w:val="center"/>
            </w:pPr>
            <w:r>
              <w:rPr>
                <w:rFonts w:ascii="David" w:hAnsi="David" w:cs="David"/>
                <w:b/>
                <w:color w:val="000000"/>
                <w:sz w:val="20"/>
                <w:szCs w:val="20"/>
                <w:rtl w:val="1"/>
              </w:rPr>
            </w:r>
            <w:r>
              <w:rPr>
                <w:rFonts w:ascii="David" w:hAnsi="David" w:cs="David"/>
                <w:b/>
                <w:color w:val="000000"/>
                <w:sz w:val="20"/>
                <w:szCs w:val="20"/>
                <w:rtl w:val="1"/>
              </w:rPr>
              <w:t>התנהלות צודקת והוגנת בגן (קטגוריית העל)</w:t>
            </w:r>
          </w:p>
        </w:tc>
      </w:tr>
      <w:tr>
        <w:tc>
          <w:tcPr>
            <w:tcW w:type="dxa" w:w="1560"/>
          </w:tcPr>
          <w:p>
            <w:pPr>
              <w:bidi w:val="1"/>
              <w:spacing w:line="240" w:lineRule="auto"/>
              <w:jc w:val="center"/>
            </w:pPr>
            <w:r>
              <w:rPr>
                <w:rFonts w:ascii="David" w:hAnsi="David" w:cs="David"/>
                <w:b/>
                <w:color w:val="000000"/>
                <w:sz w:val="18"/>
                <w:szCs w:val="18"/>
                <w:rtl w:val="1"/>
              </w:rPr>
            </w:r>
            <w:r>
              <w:rPr>
                <w:rFonts w:ascii="David" w:hAnsi="David" w:cs="David"/>
                <w:b/>
                <w:color w:val="000000"/>
                <w:sz w:val="18"/>
                <w:szCs w:val="18"/>
                <w:rtl w:val="1"/>
              </w:rPr>
              <w:t>תפיסת המונח "צדק בגן"</w:t>
            </w:r>
          </w:p>
        </w:tc>
        <w:tc>
          <w:tcPr>
            <w:tcW w:type="dxa" w:w="1560"/>
          </w:tcPr>
          <w:p>
            <w:pPr>
              <w:bidi w:val="1"/>
              <w:spacing w:line="240" w:lineRule="auto"/>
              <w:jc w:val="center"/>
            </w:pPr>
            <w:r>
              <w:rPr>
                <w:rFonts w:ascii="David" w:hAnsi="David" w:cs="David"/>
                <w:b/>
                <w:color w:val="000000"/>
                <w:sz w:val="18"/>
                <w:szCs w:val="18"/>
                <w:rtl w:val="1"/>
              </w:rPr>
            </w:r>
            <w:r>
              <w:rPr>
                <w:rFonts w:ascii="David" w:hAnsi="David" w:cs="David"/>
                <w:b/>
                <w:color w:val="000000"/>
                <w:sz w:val="18"/>
                <w:szCs w:val="18"/>
                <w:rtl w:val="1"/>
              </w:rPr>
              <w:t>חלוקת תשומת הלב הרגשית</w:t>
            </w:r>
          </w:p>
        </w:tc>
        <w:tc>
          <w:tcPr>
            <w:tcW w:type="dxa" w:w="1560"/>
          </w:tcPr>
          <w:p>
            <w:pPr>
              <w:bidi w:val="1"/>
              <w:spacing w:line="240" w:lineRule="auto"/>
              <w:jc w:val="center"/>
            </w:pPr>
            <w:r>
              <w:rPr>
                <w:rFonts w:ascii="David" w:hAnsi="David" w:cs="David"/>
                <w:b/>
                <w:color w:val="000000"/>
                <w:sz w:val="18"/>
                <w:szCs w:val="18"/>
                <w:rtl w:val="1"/>
              </w:rPr>
            </w:r>
            <w:r>
              <w:rPr>
                <w:rFonts w:ascii="David" w:hAnsi="David" w:cs="David"/>
                <w:b/>
                <w:color w:val="000000"/>
                <w:sz w:val="18"/>
                <w:szCs w:val="18"/>
                <w:rtl w:val="1"/>
              </w:rPr>
              <w:t>שווה מול הוגן</w:t>
            </w:r>
          </w:p>
        </w:tc>
        <w:tc>
          <w:tcPr>
            <w:tcW w:type="dxa" w:w="1560"/>
          </w:tcPr>
          <w:p>
            <w:pPr>
              <w:bidi w:val="1"/>
              <w:spacing w:line="240" w:lineRule="auto"/>
              <w:jc w:val="center"/>
            </w:pPr>
            <w:r>
              <w:rPr>
                <w:rFonts w:ascii="David" w:hAnsi="David" w:cs="David"/>
                <w:b/>
                <w:color w:val="000000"/>
                <w:sz w:val="18"/>
                <w:szCs w:val="18"/>
                <w:rtl w:val="1"/>
              </w:rPr>
            </w:r>
            <w:r>
              <w:rPr>
                <w:rFonts w:ascii="David" w:hAnsi="David" w:cs="David"/>
                <w:b/>
                <w:color w:val="000000"/>
                <w:sz w:val="18"/>
                <w:szCs w:val="18"/>
                <w:rtl w:val="1"/>
              </w:rPr>
              <w:t>משאבים פיזיים ומרחב</w:t>
            </w:r>
          </w:p>
        </w:tc>
        <w:tc>
          <w:tcPr>
            <w:tcW w:type="dxa" w:w="1560"/>
          </w:tcPr>
          <w:p>
            <w:pPr>
              <w:bidi w:val="1"/>
              <w:spacing w:line="240" w:lineRule="auto"/>
              <w:jc w:val="center"/>
            </w:pPr>
            <w:r>
              <w:rPr>
                <w:rFonts w:ascii="David" w:hAnsi="David" w:cs="David"/>
                <w:b/>
                <w:color w:val="000000"/>
                <w:sz w:val="18"/>
                <w:szCs w:val="18"/>
                <w:rtl w:val="1"/>
              </w:rPr>
            </w:r>
            <w:r>
              <w:rPr>
                <w:rFonts w:ascii="David" w:hAnsi="David" w:cs="David"/>
                <w:b/>
                <w:color w:val="000000"/>
                <w:sz w:val="18"/>
                <w:szCs w:val="18"/>
                <w:rtl w:val="1"/>
              </w:rPr>
              <w:t>צדק חברתי-כלכלי</w:t>
            </w:r>
          </w:p>
        </w:tc>
        <w:tc>
          <w:tcPr>
            <w:tcW w:type="dxa" w:w="1560"/>
          </w:tcPr>
          <w:p>
            <w:pPr>
              <w:bidi w:val="1"/>
              <w:spacing w:line="240" w:lineRule="auto"/>
              <w:jc w:val="center"/>
            </w:pPr>
            <w:r>
              <w:rPr>
                <w:rFonts w:ascii="David" w:hAnsi="David" w:cs="David"/>
                <w:b/>
                <w:color w:val="000000"/>
                <w:sz w:val="18"/>
                <w:szCs w:val="18"/>
                <w:rtl w:val="1"/>
              </w:rPr>
            </w:r>
            <w:r>
              <w:rPr>
                <w:rFonts w:ascii="David" w:hAnsi="David" w:cs="David"/>
                <w:b/>
                <w:color w:val="000000"/>
                <w:sz w:val="18"/>
                <w:szCs w:val="18"/>
                <w:rtl w:val="1"/>
              </w:rPr>
              <w:t>הגננת כסוכנת צדק</w:t>
            </w:r>
          </w:p>
        </w:tc>
      </w:tr>
      <w:tr>
        <w:tc>
          <w:tcPr>
            <w:tcW w:type="dxa" w:w="1560"/>
          </w:tcPr>
          <w:p>
            <w:pPr>
              <w:bidi w:val="1"/>
              <w:spacing w:line="240" w:lineRule="auto"/>
              <w:jc w:val="center"/>
            </w:pPr>
            <w:r>
              <w:rPr>
                <w:rFonts w:ascii="David" w:hAnsi="David" w:cs="David"/>
                <w:b w:val="0"/>
                <w:color w:val="000000"/>
                <w:sz w:val="16"/>
                <w:szCs w:val="16"/>
                <w:rtl w:val="1"/>
              </w:rPr>
            </w:r>
            <w:r>
              <w:rPr>
                <w:rFonts w:ascii="David" w:hAnsi="David" w:cs="David"/>
                <w:b w:val="0"/>
                <w:color w:val="000000"/>
                <w:sz w:val="16"/>
                <w:szCs w:val="16"/>
                <w:rtl w:val="1"/>
              </w:rPr>
              <w:t>ערך וראיית הילד</w:t>
            </w:r>
            <w:r>
              <w:rPr>
                <w:rFonts w:ascii="David" w:hAnsi="David" w:cs="David"/>
                <w:b w:val="0"/>
                <w:color w:val="000000"/>
                <w:sz w:val="16"/>
                <w:szCs w:val="16"/>
                <w:rtl w:val="1"/>
              </w:rPr>
              <w:br/>
            </w:r>
            <w:r>
              <w:rPr>
                <w:rFonts w:ascii="David" w:hAnsi="David" w:cs="David"/>
                <w:b w:val="0"/>
                <w:color w:val="000000"/>
                <w:sz w:val="16"/>
                <w:szCs w:val="16"/>
                <w:rtl w:val="1"/>
              </w:rPr>
              <w:t>שוויון הזדמנויות</w:t>
            </w:r>
            <w:r>
              <w:rPr>
                <w:rFonts w:ascii="David" w:hAnsi="David" w:cs="David"/>
                <w:b w:val="0"/>
                <w:color w:val="000000"/>
                <w:sz w:val="16"/>
                <w:szCs w:val="16"/>
                <w:rtl w:val="1"/>
              </w:rPr>
              <w:br/>
            </w:r>
            <w:r>
              <w:rPr>
                <w:rFonts w:ascii="David" w:hAnsi="David" w:cs="David"/>
                <w:b w:val="0"/>
                <w:color w:val="000000"/>
                <w:sz w:val="16"/>
                <w:szCs w:val="16"/>
                <w:rtl w:val="1"/>
              </w:rPr>
              <w:t>הקשבה וניהול מתחים</w:t>
            </w:r>
          </w:p>
        </w:tc>
        <w:tc>
          <w:tcPr>
            <w:tcW w:type="dxa" w:w="1560"/>
          </w:tcPr>
          <w:p>
            <w:pPr>
              <w:bidi w:val="1"/>
              <w:spacing w:line="240" w:lineRule="auto"/>
              <w:jc w:val="center"/>
            </w:pPr>
            <w:r>
              <w:rPr>
                <w:rFonts w:ascii="David" w:hAnsi="David" w:cs="David"/>
                <w:b w:val="0"/>
                <w:color w:val="000000"/>
                <w:sz w:val="16"/>
                <w:szCs w:val="16"/>
                <w:rtl w:val="1"/>
              </w:rPr>
            </w:r>
            <w:r>
              <w:rPr>
                <w:rFonts w:ascii="David" w:hAnsi="David" w:cs="David"/>
                <w:b w:val="0"/>
                <w:color w:val="000000"/>
                <w:sz w:val="16"/>
                <w:szCs w:val="16"/>
                <w:rtl w:val="1"/>
              </w:rPr>
              <w:t>עיקרון הצורך</w:t>
            </w:r>
            <w:r>
              <w:rPr>
                <w:rFonts w:ascii="David" w:hAnsi="David" w:cs="David"/>
                <w:b w:val="0"/>
                <w:color w:val="000000"/>
                <w:sz w:val="16"/>
                <w:szCs w:val="16"/>
                <w:rtl w:val="1"/>
              </w:rPr>
              <w:br/>
            </w:r>
            <w:r>
              <w:rPr>
                <w:rFonts w:ascii="David" w:hAnsi="David" w:cs="David"/>
                <w:b w:val="0"/>
                <w:color w:val="000000"/>
                <w:sz w:val="16"/>
                <w:szCs w:val="16"/>
                <w:rtl w:val="1"/>
              </w:rPr>
              <w:t>הילד השקט</w:t>
            </w:r>
          </w:p>
        </w:tc>
        <w:tc>
          <w:tcPr>
            <w:tcW w:type="dxa" w:w="1560"/>
          </w:tcPr>
          <w:p>
            <w:pPr>
              <w:bidi w:val="1"/>
              <w:spacing w:line="240" w:lineRule="auto"/>
              <w:jc w:val="center"/>
            </w:pPr>
            <w:r>
              <w:rPr>
                <w:rFonts w:ascii="David" w:hAnsi="David" w:cs="David"/>
                <w:b w:val="0"/>
                <w:color w:val="000000"/>
                <w:sz w:val="16"/>
                <w:szCs w:val="16"/>
                <w:rtl w:val="1"/>
              </w:rPr>
            </w:r>
            <w:r>
              <w:rPr>
                <w:rFonts w:ascii="David" w:hAnsi="David" w:cs="David"/>
                <w:b w:val="0"/>
                <w:color w:val="000000"/>
                <w:sz w:val="16"/>
                <w:szCs w:val="16"/>
                <w:rtl w:val="1"/>
              </w:rPr>
              <w:t>ההבחנה המכוננת בין חלוקה שווה לחלוקה הוגנת</w:t>
            </w:r>
          </w:p>
        </w:tc>
        <w:tc>
          <w:tcPr>
            <w:tcW w:type="dxa" w:w="1560"/>
          </w:tcPr>
          <w:p>
            <w:pPr>
              <w:bidi w:val="1"/>
              <w:spacing w:line="240" w:lineRule="auto"/>
              <w:jc w:val="center"/>
            </w:pPr>
            <w:r>
              <w:rPr>
                <w:rFonts w:ascii="David" w:hAnsi="David" w:cs="David"/>
                <w:b w:val="0"/>
                <w:color w:val="000000"/>
                <w:sz w:val="16"/>
                <w:szCs w:val="16"/>
                <w:rtl w:val="1"/>
              </w:rPr>
            </w:r>
            <w:r>
              <w:rPr>
                <w:rFonts w:ascii="David" w:hAnsi="David" w:cs="David"/>
                <w:b w:val="0"/>
                <w:color w:val="000000"/>
                <w:sz w:val="16"/>
                <w:szCs w:val="16"/>
                <w:rtl w:val="1"/>
              </w:rPr>
              <w:t>שקיפות, תור וכללים</w:t>
            </w:r>
            <w:r>
              <w:rPr>
                <w:rFonts w:ascii="David" w:hAnsi="David" w:cs="David"/>
                <w:b w:val="0"/>
                <w:color w:val="000000"/>
                <w:sz w:val="16"/>
                <w:szCs w:val="16"/>
                <w:rtl w:val="1"/>
              </w:rPr>
              <w:br/>
            </w:r>
            <w:r>
              <w:rPr>
                <w:rFonts w:ascii="David" w:hAnsi="David" w:cs="David"/>
                <w:b w:val="0"/>
                <w:color w:val="000000"/>
                <w:sz w:val="16"/>
                <w:szCs w:val="16"/>
                <w:rtl w:val="1"/>
              </w:rPr>
              <w:t>איזון המרחב והדרה</w:t>
            </w:r>
          </w:p>
        </w:tc>
        <w:tc>
          <w:tcPr>
            <w:tcW w:type="dxa" w:w="1560"/>
          </w:tcPr>
          <w:p>
            <w:pPr>
              <w:bidi w:val="1"/>
              <w:spacing w:line="240" w:lineRule="auto"/>
              <w:jc w:val="center"/>
            </w:pPr>
            <w:r>
              <w:rPr>
                <w:rFonts w:ascii="David" w:hAnsi="David" w:cs="David"/>
                <w:b w:val="0"/>
                <w:color w:val="000000"/>
                <w:sz w:val="16"/>
                <w:szCs w:val="16"/>
                <w:rtl w:val="1"/>
              </w:rPr>
            </w:r>
            <w:r>
              <w:rPr>
                <w:rFonts w:ascii="David" w:hAnsi="David" w:cs="David"/>
                <w:b w:val="0"/>
                <w:color w:val="000000"/>
                <w:sz w:val="16"/>
                <w:szCs w:val="16"/>
                <w:rtl w:val="1"/>
              </w:rPr>
              <w:t>מניעת בושה וצמצום פערים</w:t>
            </w:r>
          </w:p>
        </w:tc>
        <w:tc>
          <w:tcPr>
            <w:tcW w:type="dxa" w:w="1560"/>
          </w:tcPr>
          <w:p>
            <w:pPr>
              <w:bidi w:val="1"/>
              <w:spacing w:line="240" w:lineRule="auto"/>
              <w:jc w:val="center"/>
            </w:pPr>
            <w:r>
              <w:rPr>
                <w:rFonts w:ascii="David" w:hAnsi="David" w:cs="David"/>
                <w:b w:val="0"/>
                <w:color w:val="000000"/>
                <w:sz w:val="16"/>
                <w:szCs w:val="16"/>
                <w:rtl w:val="1"/>
              </w:rPr>
            </w:r>
            <w:r>
              <w:rPr>
                <w:rFonts w:ascii="David" w:hAnsi="David" w:cs="David"/>
                <w:b w:val="0"/>
                <w:color w:val="000000"/>
                <w:sz w:val="16"/>
                <w:szCs w:val="16"/>
                <w:rtl w:val="1"/>
              </w:rPr>
              <w:t>חינוך לערכים ודוגמה אישית</w:t>
            </w:r>
          </w:p>
        </w:tc>
      </w:tr>
    </w:tbl>
    <w:p>
      <w:pPr>
        <w:bidi w:val="1"/>
        <w:spacing w:line="360" w:lineRule="auto"/>
        <w:jc w:val="both"/>
      </w:pP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 w:val="24"/>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 w:val="24"/>
          <w:szCs w:val="24"/>
          <w:rtl w:val="1"/>
        </w:rPr>
        <w:t xml:space="preserve">  (מרואיינת 1, נספח 3)</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 w:val="24"/>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 w:val="24"/>
          <w:szCs w:val="24"/>
          <w:rtl w:val="1"/>
        </w:rPr>
        <w:t xml:space="preserve">  (מרואיינת 4, נספח 3)</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 w:val="24"/>
          <w:szCs w:val="24"/>
          <w:rtl w:val="1"/>
        </w:rPr>
        <w:t xml:space="preserve">  (מרואיינת 6, נספח 3)</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 w:val="24"/>
          <w:szCs w:val="24"/>
          <w:rtl w:val="1"/>
        </w:rPr>
        <w:t xml:space="preserve">  (מרואיינת 5, נספח 3)</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 w:val="24"/>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 w:val="24"/>
          <w:szCs w:val="24"/>
          <w:rtl w:val="1"/>
        </w:rPr>
        <w:t xml:space="preserve">  (מרואיינת 2, נספח 3)</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 w:val="24"/>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 w:val="24"/>
          <w:szCs w:val="24"/>
          <w:rtl w:val="1"/>
        </w:rPr>
        <w:t xml:space="preserve">  (מרואיינת 3, נספח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 w:val="24"/>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 w:val="24"/>
          <w:szCs w:val="24"/>
          <w:rtl w:val="1"/>
        </w:rPr>
        <w:t xml:space="preserve">  (מרואיינת 6, נספח 3)</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 w:val="24"/>
          <w:szCs w:val="24"/>
          <w:rtl w:val="1"/>
        </w:rPr>
        <w:t xml:space="preserve">  (מרואיינת 3, נספח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 w:val="24"/>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 w:val="24"/>
          <w:szCs w:val="24"/>
          <w:rtl w:val="1"/>
        </w:rPr>
        <w:t xml:space="preserve">  (מרואיינת 2, נספח 3)</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 w:val="24"/>
          <w:szCs w:val="24"/>
          <w:rtl w:val="1"/>
        </w:rPr>
        <w:t xml:space="preserve">  (מרואיינת 6, נספח 3)</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 w:val="24"/>
          <w:szCs w:val="24"/>
          <w:rtl w:val="1"/>
        </w:rPr>
        <w:t xml:space="preserve">  (מרואיינת 2, נספח 3)</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 w:val="24"/>
          <w:szCs w:val="24"/>
          <w:rtl w:val="1"/>
        </w:rPr>
        <w:t xml:space="preserve">  (מרואיינת 1, נספח 3)</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שאליו כמעט אינה מתייחסת הספרות העוסקת בצדק בכיתה, ביקש המחקר לתת קול לגננות עצמן, ולבחון את עולמן המקצועי והערכי דרך ראיונות עומק חצי-מובנים עם שש גננות בעלות ותק, רקע ואוכלוסיית גן מגוונים. פרק זה דן בממצאים המרכזיים שעלו מן הניתוח, ומאיר אותם באור הספרות התיאורטית והמחקרית שנסקרה.</w:t>
      </w:r>
    </w:p>
    <w:p>
      <w:pPr>
        <w:bidi w:val="1"/>
        <w:spacing w:line="360" w:lineRule="auto" w:before="0" w:after="120"/>
        <w:ind/>
        <w:jc w:val="both"/>
      </w:pPr>
      <w:r>
        <w:rPr>
          <w:rFonts w:ascii="David" w:hAnsi="David" w:cs="David"/>
          <w:b w:val="0"/>
          <w:color w:val="000000"/>
          <w:sz w:val="24"/>
          <w:szCs w:val="24"/>
          <w:rtl w:val="1"/>
        </w:rPr>
        <w:t>ניתוח הנתונים חשף שש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ו-(ו)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הראשונה, תפיסת המונח "צדק בגן", חשפה כי הגננות אינן אוחזות בהגדרה אחת אחידה, אלא בשלוש תפיסות משלימות: צדק כראיית הילד הבודד ומתן מענה לצרכיו, צדק כשוויון הזדמנויות, וצדק כהקשבה וכניהול מתחים בין צרכים מתנגשים. ריבוי זה תואם את הטענה כי מושג הצדק נתפס באופן שונה בעיני אנשים שונים ומושפע מן המטען הערכי והאישי שלהם (סבג וביברמן-שלו, 2014). מעניין במיוחד הוא הביטוי שנתנה אחת הגננות לתפיסה שלפיה "צדק של מי?" היא השאלה הראשונה, כלומר שאין צדק אובייקטיבי אחד אלא תהליך מתמשך של הקשבה. תפיסה זו מקרבת את הגננות אל מושג הצדק האינטראקציוני, המדגיש את איכות ההליך והיחס ולא רק את התוצאה (Jiang et al., 2018).</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שש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כדי להשיג צדק חברתי אמיתי. בעוד שבבית הספר נמצא כי עיקרון ההוגנות מבוסס-התפוקה הוא הדומיננטי בחלוקת ציונים (קרמרסקי ורש, 2004), מלמד המחקר הנוכחי כי בגן, בהיעדר משאב מדיד כמו ציון, ההוגנות מבוססת-הצורך היא עקרון החלוקה השליט, המיושם דווקא סביב משאבים רכים: תשומת לב, זמן ומרחב. מעבר לכך, הגננות תיארו כי הן מלמדות את ההבחנה הזו במפורש גם את הילדים, למשל באמצעות דימויים חזותיים. ממצא זה מתחבר לספרות ההתפתחותית, המלמדת כי כבר סביב גיל ארבע עד חמש מסוגלים ילדים לצאת מנקודת המבט האנוכית ולהבין הוגנות מבוססת-צורך (Grütter et al., 2024; Lee et al., 2022), ומחזק את התובנה כי הגן הוא זירה שבה נלמדת ההבחנה בין שווה להוגן הלכה למעשה.</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ממד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 ראוי לציין כי הגננות תיארו שהן נעזרות בצוות ובסייעת כדי לממש חלוקה זו, ובכך מתחבר הממצא למתח שבין אינטרס הפרט לטובת הכלל, מתח מובנה בעשייה החינוכית (סבג וביברמן-שלו, 2014).</w:t>
      </w:r>
    </w:p>
    <w:p>
      <w:pPr>
        <w:bidi w:val="1"/>
        <w:spacing w:line="360" w:lineRule="auto" w:before="0" w:after="120"/>
        <w:ind/>
        <w:jc w:val="both"/>
      </w:pPr>
      <w:r>
        <w:rPr>
          <w:rFonts w:ascii="David" w:hAnsi="David" w:cs="David"/>
          <w:b w:val="0"/>
          <w:color w:val="000000"/>
          <w:sz w:val="24"/>
          <w:szCs w:val="24"/>
          <w:rtl w:val="1"/>
        </w:rPr>
        <w:t>תמת חלוקת המשאבים הפיזיים והמרחב הקבוצתי חשפה את חשיבותו של הצדק הפרוצדורלי בעיני הגננות. הן תיארו מערכות שקופות של תורים וכללים, והדגישו כי דווקא הצפיות והשקיפות של המערכת הן שיוצרות את תחושת ההוגנות, יותר מן התוצאה עצמה. ממצא זה תואם את הספרות על הצדק הפרוצדורלי, המלמדת כי הליך שקוף ועקבי בונה אמון ותחושת הוגנות (Jiang et al., 2018). בתוך תמה זו עלתה גם סוגיית ההדרה החברתית, שהגננות תפסו לא כבעיה חברתית-רגשית בלבד אלא כסוגיית צדק חלוקתי מובהקת, המחייבת התערבות אקטיבית לצמצום עוול, בעיקר כאשר ההדרה נובעת מרקע כלכלי (Lang et al., 2024).</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 ממצא זה ממחיש כי הגננת תופסת את עצמה כמי שאמונה על שוויון הזדמנויות מהותי, ולא רק פורמלי, כלומר על התחשבות בנקודת הפתיחה השונה של כל ילד (דהאן, 2010).</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תפיסה זו תואמת את ההמשגה של הגננת כדמות מוסרית וכסוכנת שינוי.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 כך למשל, הגננת הצעירה תיארה גישה משתפת ומודעת מאוד מבחינה תיאורטית, בעוד הגננת הוותיקה תיארה כי במשך שנים פעלה נכון אך ללא מילים לכך, והשפה המושגית הגיעה רק מאוחר יותר.</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בכך תורם המחקר להרחבת המסגרת התיאורטית של הצדק החלוקתי אל מעבר להקשר הבית-ספרי שבו נחקר עד כה.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 ולהנגישה גם לגננות מתחילות שטרם גיבשו שפה מקצועית בתחום.</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עיקרון הצורך שבבסיס הצדק החלוקתי (Connell, 1993; סבג וביברמן-שלו, 2014).</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גיוס הקבוצה והצוות, מערכות שקופות של תורים וכללים היוצרות תחושת הוגנות, איזון המרחב הקבוצתי בין הילד הדומיננטי לילד השקט, טיפול אקטיבי בהדרה, ומאמץ מתמיד למניעת בושה ולצמצום פערים חברתיים-כלכליים. מכאן עולה המסקנה כי הצדק בגן אינו מושג מופשט, אלא נבנה מאינספור החלטות זעירות ומעשיות, שכל אחת מהן היא הכרעה חלוקתית קטנה.</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וכי גן המתנהל על-פי עקרונות של הוגנות ושקיפות מהווה עבור הילד מודל ראשוני של חברה צודקת.</w:t>
      </w:r>
    </w:p>
    <w:p>
      <w:pPr>
        <w:bidi w:val="1"/>
        <w:spacing w:line="360" w:lineRule="auto" w:before="0" w:after="120"/>
        <w:ind/>
        <w:jc w:val="both"/>
      </w:pPr>
      <w:r>
        <w:rPr>
          <w:rFonts w:ascii="David" w:hAnsi="David" w:cs="David"/>
          <w:b w:val="0"/>
          <w:color w:val="000000"/>
          <w:sz w:val="24"/>
          <w:szCs w:val="24"/>
          <w:rtl w:val="1"/>
        </w:rPr>
        <w:t>לבסוף, מן המחקר עולה מסקנה חשובה בדבר הפער בין הערכים לבין הכלים: הבסיס הערכי, כלומר המחויבות להוגנות ולצדק, קיים אצל כלל הגננות שרואיינו, ללא תלות בוותק או ברקע. אולם השפה המושגית והכלים המקצועיים לעסוק בסוגיה באופן מודע, מתועד ומכוון אינם תמיד זמינים להן, ופעמים רבות העשייה הצודקת נותרת אינטואיטיבית וסמויה. פער זה הוא נקודת המוצא להשלכות ולהמלצות שלהלן.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הגננות ובהשתלמויות ההמשך התייחסות מפורשת לסוגיית הצדק החלוקתי בגן, ובכלל זה להבחנה בין שווה להוגן, לחלוקת המשאבים הרכים, למאבק בעוול הסמוי של הילד השקט, ולהתמודדות עם הדרה על רקע כלכלי. שנית, ראוי לפתח כלים מעשיים, כגון כלי תצפית וכלי רפלקציה, שיסייעו לגננות להפוך את העשייה האינטואיטיבית לעשייה מודעת ומתועדת, ולנטר את חלוקת תשומת הלב והמשאבים באופן שיטתי.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רביעית, מומלץ להנגיש לגננות מתחילות ליווי וחונכות ממוקדים בתחום זה, כדי לקצר את הדרך אל השפה המקצועית שהגננות הוותיקות רכשו רק לאחר שנים של ניסיון.</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למגדר ולהקשר. כן מוצע לשלב בין ראיונות לבין תצפיות בשדה, כדי לבחון את מידת ההלימה בין התפיסות המוצהרות של הגננות לבין הפרקטיקה בפועל, שכן ייתכן פער בין השניים. מחקר עתידי יוכל גם לבחון את סוגיית הצדק בגן דרך נקודת מבטם של הילדים עצמם ושל ההורים, ובכך להשלים את התמונה הרב-ממדית של ההתנהלות הצודקת בגן. לבסוף, ניתן לבחון לאורך זמן את השפעתה של הכשרה ייעודית בנושא הצדק החלוקתי על תפיסותיהן ועל פרקטיקות ההוראה של גננות.</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pStyle w:val="Heading1"/>
        <w:pageBreakBefore/>
        <w:bidi w:val="1"/>
        <w:spacing w:line="360" w:lineRule="auto"/>
        <w:jc w:val="right"/>
      </w:pPr>
      <w:r>
        <w:rPr>
          <w:rFonts w:ascii="David" w:hAnsi="David" w:cs="David"/>
          <w:b/>
          <w:color w:val="000000"/>
          <w:sz w:val="24"/>
          <w:szCs w:val="24"/>
          <w:rtl w:val="1"/>
        </w:rPr>
        <w:t>8. רפלקציה</w:t>
      </w:r>
    </w:p>
    <w:p>
      <w:pPr>
        <w:bidi w:val="1"/>
        <w:spacing w:line="360" w:lineRule="auto"/>
        <w:ind w:firstLine="480"/>
        <w:jc w:val="both"/>
      </w:pPr>
      <w:r>
        <w:rPr>
          <w:rFonts w:ascii="David" w:hAnsi="David" w:cs="David"/>
          <w:b w:val="0"/>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firstLine="480"/>
        <w:jc w:val="both"/>
      </w:pPr>
      <w:r>
        <w:rPr>
          <w:rFonts w:ascii="David" w:hAnsi="David" w:cs="David"/>
          <w:b w:val="0"/>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firstLine="480"/>
        <w:jc w:val="both"/>
      </w:pPr>
      <w:r>
        <w:rPr>
          <w:rFonts w:ascii="David" w:hAnsi="David" w:cs="David"/>
          <w:b w:val="0"/>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color w:val="000000"/>
          <w:sz w:val="24"/>
          <w:szCs w:val="24"/>
          <w:rtl w:val="1"/>
          <w:rtl w:val="1"/>
        </w:rPr>
        <w:t>9. רשימת המקורות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24"/>
          <w:szCs w:val="24"/>
          <w:rtl w:val="1"/>
          <w:rtl w:val="1"/>
        </w:rPr>
        <w:t>10.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color w:val="00000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