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after="800" w:before="0" w:line="360" w:lineRule="auto"/>
        <w:jc w:val="right"/>
      </w:pPr>
      <w:r>
        <w:rPr>
          <w:rFonts w:ascii="David" w:hAnsi="David" w:cs="David"/>
          <w:b w:val="0"/>
          <w:sz w:val="24"/>
          <w:rtl w:val="1"/>
        </w:rPr>
      </w:r>
    </w:p>
    <w:p>
      <w:pPr>
        <w:bidi/>
        <w:spacing w:after="120" w:before="0" w:line="360" w:lineRule="auto"/>
        <w:jc w:val="center"/>
      </w:pPr>
      <w:r>
        <w:rPr>
          <w:rFonts w:ascii="David" w:hAnsi="David" w:cs="David"/>
          <w:b/>
          <w:sz w:val="32"/>
          <w:rtl w:val="1"/>
        </w:rPr>
        <w:t>הקריה האקדמית אונו</w:t>
      </w:r>
    </w:p>
    <w:p>
      <w:pPr>
        <w:bidi/>
        <w:spacing w:after="800" w:before="0" w:line="360" w:lineRule="auto"/>
        <w:jc w:val="center"/>
      </w:pPr>
      <w:r>
        <w:rPr>
          <w:rFonts w:ascii="David" w:hAnsi="David" w:cs="David"/>
          <w:b/>
          <w:sz w:val="26"/>
          <w:rtl w:val="1"/>
        </w:rPr>
        <w:t>הפקולטה למדעי הרוח והחברה</w:t>
      </w:r>
    </w:p>
    <w:p>
      <w:pPr>
        <w:bidi/>
        <w:spacing w:after="160" w:before="0" w:line="360" w:lineRule="auto"/>
        <w:jc w:val="center"/>
      </w:pPr>
      <w:r>
        <w:rPr>
          <w:rFonts w:ascii="David" w:hAnsi="David" w:cs="David"/>
          <w:b/>
          <w:sz w:val="30"/>
          <w:rtl w:val="1"/>
        </w:rPr>
        <w:t>פסיכולוגיה התפתחותית א' - ינקות והתבגרות (מקוון)</w:t>
      </w:r>
    </w:p>
    <w:p>
      <w:pPr>
        <w:bidi/>
        <w:spacing w:after="1200" w:before="0" w:line="360" w:lineRule="auto"/>
        <w:jc w:val="center"/>
      </w:pPr>
      <w:r>
        <w:rPr>
          <w:rFonts w:ascii="David" w:hAnsi="David" w:cs="David"/>
          <w:b/>
          <w:sz w:val="28"/>
          <w:rtl w:val="1"/>
        </w:rPr>
        <w:t>עבודה מסכמת</w:t>
      </w:r>
    </w:p>
    <w:p>
      <w:pPr>
        <w:bidi/>
        <w:spacing w:after="600" w:before="0" w:line="360" w:lineRule="auto"/>
        <w:jc w:val="center"/>
      </w:pPr>
      <w:r>
        <w:rPr>
          <w:rFonts w:ascii="David" w:hAnsi="David" w:cs="David"/>
          <w:b w:val="0"/>
          <w:sz w:val="24"/>
          <w:rtl w:val="1"/>
        </w:rPr>
        <w:t>מרצים: פרופ' טובה הרטמן וד"ר צפירה גרבלסקי-ליכטמן</w:t>
      </w:r>
    </w:p>
    <w:p>
      <w:pPr>
        <w:bidi/>
        <w:spacing w:after="160" w:before="0" w:line="360" w:lineRule="auto"/>
        <w:jc w:val="center"/>
      </w:pPr>
      <w:r>
        <w:rPr>
          <w:rFonts w:ascii="David" w:hAnsi="David" w:cs="David"/>
          <w:b/>
          <w:sz w:val="24"/>
          <w:rtl w:val="1"/>
        </w:rPr>
        <w:t>מגישה: חולוד אבו עבאס     ת"ז: ______________</w:t>
      </w:r>
    </w:p>
    <w:p>
      <w:pPr>
        <w:bidi/>
        <w:spacing w:after="160" w:before="0" w:line="360" w:lineRule="auto"/>
        <w:jc w:val="center"/>
      </w:pPr>
      <w:r>
        <w:rPr>
          <w:rFonts w:ascii="David" w:hAnsi="David" w:cs="David"/>
          <w:b w:val="0"/>
          <w:sz w:val="24"/>
          <w:rtl w:val="1"/>
        </w:rPr>
        <w:t>תאריך הגשה: 22.7.2026</w:t>
      </w:r>
    </w:p>
    <w:p>
      <w:r>
        <w:br w:type="page"/>
      </w:r>
    </w:p>
    <w:p>
      <w:pPr>
        <w:bidi/>
        <w:spacing w:after="60" w:before="160" w:line="360" w:lineRule="auto"/>
        <w:jc w:val="right"/>
      </w:pPr>
      <w:r>
        <w:rPr>
          <w:rFonts w:ascii="David" w:hAnsi="David" w:cs="David"/>
          <w:b/>
          <w:sz w:val="24"/>
          <w:rtl w:val="1"/>
        </w:rPr>
        <w:t>שאלה 1 - סיפור מקרה</w:t>
      </w:r>
    </w:p>
    <w:p>
      <w:pPr>
        <w:bidi/>
        <w:spacing w:after="120" w:before="0" w:line="360" w:lineRule="auto"/>
        <w:jc w:val="both"/>
      </w:pPr>
      <w:r>
        <w:rPr>
          <w:rFonts w:ascii="David" w:hAnsi="David" w:cs="David"/>
          <w:b w:val="0"/>
          <w:sz w:val="24"/>
          <w:rtl w:val="1"/>
        </w:rPr>
        <w:t>כרים הוא ילד בן תשע, הרביעי מבין חמישה אחים, שגדל במשפחה גדולה וחמה בעיר בצפון. בבית גרים גם ההורים וגם הסבתא, וכל היום מלא בקרובים שנכנסים ויוצאים. אני מכירה את כרים כי אני בת דודה של אמו, וראיתי אותו גדל מקרוב. מבחינת ההתפתחות הנורמטיבית הכול נע אצלו בקצב תקין: הוא זחל, קם והלך עוד לפני גיל שנה, דיבר במשפטים סביב גיל שנתיים, והיום הוא קורא, כותב ופותר תרגילי חשבון כמו רוב בני גילו.</w:t>
      </w:r>
    </w:p>
    <w:p>
      <w:pPr>
        <w:bidi/>
        <w:spacing w:after="120" w:before="0" w:line="360" w:lineRule="auto"/>
        <w:jc w:val="both"/>
      </w:pPr>
      <w:r>
        <w:rPr>
          <w:rFonts w:ascii="David" w:hAnsi="David" w:cs="David"/>
          <w:b w:val="0"/>
          <w:sz w:val="24"/>
          <w:rtl w:val="1"/>
        </w:rPr>
        <w:t>הייחוד של כרים מתחיל דווקא בגוף. הוא ילד אתלטי וזריז באופן יוצא דופן, לומד כל מיומנות גופנית כמעט מיד, ומצטיין בכדורגל ובתופים. מצד שני, לשבת בשקט מול מחברת זה עונש בשבילו. בכיתה הוא נע כל הזמן, קופץ ממקום למקום, ולפעמים מסתבך בגלל חוסר השקט. אז מצד אחד יש התפתחות תקינה לגמרי, ומצד שני פרופיל אישי מאוד מובהק: כישרון תנועתי גבוה לצד קושי בריכוז ובמשימות שדורשות ישיבה ממושכת. גם זה, בסופו של דבר, טווח נורמלי, רק עם צבע אישי משלו.</w:t>
      </w:r>
    </w:p>
    <w:p>
      <w:pPr>
        <w:bidi/>
        <w:spacing w:after="60" w:before="160" w:line="360" w:lineRule="auto"/>
        <w:jc w:val="right"/>
      </w:pPr>
      <w:r>
        <w:rPr>
          <w:rFonts w:ascii="David" w:hAnsi="David" w:cs="David"/>
          <w:b/>
          <w:sz w:val="24"/>
          <w:rtl w:val="1"/>
        </w:rPr>
        <w:t>שאלה 2 - גורמי סיכון וגורמי מגן</w:t>
      </w:r>
    </w:p>
    <w:p>
      <w:pPr>
        <w:bidi/>
        <w:spacing w:after="120" w:before="0" w:line="360" w:lineRule="auto"/>
        <w:jc w:val="both"/>
      </w:pPr>
      <w:r>
        <w:rPr>
          <w:rFonts w:ascii="David" w:hAnsi="David" w:cs="David"/>
          <w:b w:val="0"/>
          <w:sz w:val="24"/>
          <w:rtl w:val="1"/>
        </w:rPr>
        <w:t>כשמדברים על גורמי סיכון מתכוונים לתנאים, בילד או סביבו, שמגדילים את הסיכוי שההתפתחות תיתקל בקשיים. גורמי מגן הם ההפך, תנאים שמגנים על הילד, מרככים את הפגיעה של הסיכון ומחזקים את החוסן שלו. לרוב לא מדובר בגורם בודד אלא בהצטברות של כמה, ובאיזון הכולל שנוצר ביניהם.</w:t>
      </w:r>
    </w:p>
    <w:p>
      <w:pPr>
        <w:bidi/>
        <w:spacing w:after="120" w:before="0" w:line="360" w:lineRule="auto"/>
        <w:jc w:val="both"/>
      </w:pPr>
      <w:r>
        <w:rPr>
          <w:rFonts w:ascii="David" w:hAnsi="David" w:cs="David"/>
          <w:b w:val="0"/>
          <w:sz w:val="24"/>
          <w:rtl w:val="1"/>
        </w:rPr>
        <w:t>בסביבה של כרים יש כמה גורמי סיכון אמיתיים. הבית צפוף, שבעה אנשים בדירה קטנה, וכמעט אין פינה שקטה להכין בה שיעורים. אח בכור שלו מתמודד עם לקות למידה ומושך אליו הרבה מהתשומת לב של ההורים. האב עובד שעות ארוכות בבניין וכמעט לא נמצא בבית בשעות היום, כך שהזמינות שלו מוגבלת. ואי השקט של כרים עצמו מכניס אותו לחיכוכים חוזרים בבית הספר. אבל לצד אלה יש גם גורמי מגן חזקים. המשפחה המורחבת מלוכדת, הסבתא נוכחת כל היום ונותנת יציבות, ויש תחושת קהילה חזקה בשכונה. מורה לחינוך גופני שם לב לכישרון שלו, נתן לו אחריות בקבוצה, וזה חיזק לו את הביטחון העצמי. הקשר החם עם אמא, וההצלחות שלו במגרש, הם עוגן שמאזן חלק גדול מהסיכון (Masten, 2001).</w:t>
      </w:r>
    </w:p>
    <w:p>
      <w:pPr>
        <w:bidi/>
        <w:spacing w:after="60" w:before="160" w:line="360" w:lineRule="auto"/>
        <w:jc w:val="right"/>
      </w:pPr>
      <w:r>
        <w:rPr>
          <w:rFonts w:ascii="David" w:hAnsi="David" w:cs="David"/>
          <w:b/>
          <w:sz w:val="24"/>
          <w:rtl w:val="1"/>
        </w:rPr>
        <w:t>שאלה 3 - מעגלי השפעה</w:t>
      </w:r>
    </w:p>
    <w:p>
      <w:pPr>
        <w:bidi/>
        <w:spacing w:after="120" w:before="0" w:line="360" w:lineRule="auto"/>
        <w:jc w:val="both"/>
      </w:pPr>
      <w:r>
        <w:rPr>
          <w:rFonts w:ascii="David" w:hAnsi="David" w:cs="David"/>
          <w:b w:val="0"/>
          <w:sz w:val="24"/>
          <w:rtl w:val="1"/>
        </w:rPr>
        <w:t>לפי המודל האקולוגי, אף ילד לא מתפתח בחלל ריק אלא בתוך מערכת של מעגלי השפעה שמקיפים אותו, מהמעגל הקרוב אליו ועד לרחוק ביותר. הקרוב הוא המיקרו-מערכת, שכולל את כל הגורמים שהילד בא איתם במגע יומיומי ישיר, כמו המשפחה, בית הספר וקבוצת הכדורגל. אחריו בא המזו-מערכת, שהוא הקשרים ההדדיים בין רכיבי המיקרו, למשל מה שקורה כשהמאמן והמורה מדברים עם ההורים. רחוק יותר יושב האקסו-מערכת, מערכות שהילד אינו חלק פעיל מהן אך הן משפיעות עליו בעקיפין, כמו תנאי העבודה של האב. מעליו נמצא המקרו-מערכת, שהוא רובד התרבות, האמונות והמצב הכלכלי-חברתי הרחב. ובראש הכול הכרונו-מערכת, ממד הזמן, שמתאר את השינויים והמעברים שהילד עובר במהלך חייו (דרייפוס-חנן, 2024).</w:t>
      </w:r>
    </w:p>
    <w:p>
      <w:pPr>
        <w:bidi/>
        <w:spacing w:after="120" w:before="0" w:line="360" w:lineRule="auto"/>
        <w:jc w:val="both"/>
      </w:pPr>
      <w:r>
        <w:rPr>
          <w:rFonts w:ascii="David" w:hAnsi="David" w:cs="David"/>
          <w:b w:val="0"/>
          <w:sz w:val="24"/>
          <w:rtl w:val="1"/>
        </w:rPr>
        <w:t>בחיים של כרים כל מעגל מקבל פנים מוחשיות. במיקרו, קבוצת הכדורגל היא בשבילו כמעט בית שני, מקום שבו הוא מרגיש מוצלח. במזו, השיחה בין המאמן להורים הובילה לכך שנתנו לו יותר מקום להוציא אנרגיה, וזה שיפר גם את ההתנהגות בכיתה. באקסו, שעות העבודה הארוכות של אבא בבניין, החלטה כלכלית שכרים אינו חלק ממנה, קובעות כמה הוא בכלל רואה אותו במהלך השבוע. במקרו, הגדילה בחברה ערבית מסורתית שמעמידה את המשפחה המורחבת במרכז נותנת לו רשת תמיכה רחבה, אך גם מציבה ציפיות ותפקידים. ובכרונו, המעבר לשכונה חדשה ובואה של הסבתא לגור בבית היו אירועים שעיצבו את המרקם המשפחתי שבו הוא חי.</w:t>
      </w:r>
    </w:p>
    <w:p>
      <w:pPr>
        <w:bidi/>
        <w:spacing w:after="60" w:before="160" w:line="360" w:lineRule="auto"/>
        <w:jc w:val="right"/>
      </w:pPr>
      <w:r>
        <w:rPr>
          <w:rFonts w:ascii="David" w:hAnsi="David" w:cs="David"/>
          <w:b/>
          <w:sz w:val="24"/>
          <w:rtl w:val="1"/>
        </w:rPr>
        <w:t>שאלה 4 - תיאוריית ההתפתחות הקוגניטיבית (פיאז'ה)</w:t>
      </w:r>
    </w:p>
    <w:p>
      <w:pPr>
        <w:bidi/>
        <w:spacing w:after="120" w:before="0" w:line="360" w:lineRule="auto"/>
        <w:jc w:val="both"/>
      </w:pPr>
      <w:r>
        <w:rPr>
          <w:rFonts w:ascii="David" w:hAnsi="David" w:cs="David"/>
          <w:b w:val="0"/>
          <w:sz w:val="24"/>
          <w:rtl w:val="1"/>
        </w:rPr>
        <w:t>פיאז'ה תיאר ארבעה שלבים ברצף ההתפתחות הקוגניטיבית, כשלכל שלב טווח גיל משוער. הראשון הוא השלב הסנסומוטורי, מהלידה ועד גיל שנתיים. אחריו השלב הקדם-מבצעי, בין גיל שנתיים לשבע. השלישי הוא שלב המבצעים הקונקרטיים, בין גיל שבע לאחת עשרה. והאחרון הוא שלב המבצעים הפורמליים, מגיל אחת עשרה והלאה.</w:t>
      </w:r>
    </w:p>
    <w:p>
      <w:pPr>
        <w:bidi/>
        <w:spacing w:after="120" w:before="0" w:line="360" w:lineRule="auto"/>
        <w:jc w:val="both"/>
      </w:pPr>
      <w:r>
        <w:rPr>
          <w:rFonts w:ascii="David" w:hAnsi="David" w:cs="David"/>
          <w:b w:val="0"/>
          <w:sz w:val="24"/>
          <w:rtl w:val="1"/>
        </w:rPr>
        <w:t>כרים, בן תשע, נמצא בבירור בשלב המבצעים הקונקרטיים, ואפשר לראות את זה בפעולות שלו. הוא כבר מבין שכמות של משהו נשמרת גם אם משנים את הצורה, למשל שאותה כמות מיץ נשארת אותה כמות בכוס אחרת. יש לו גם יכולת מיון וסידור מרשימה: את אוסף קלפי הכדורגל שלו הוא מארגן לפי ליגות, קבוצות ועמדות, וממיין אותם שוב ושוב לפי קטגוריות שונות. הוא תופס חוקי משחק מסובכים ומקפיד עליהם. אבל כשמנסים לדבר איתו על משהו מופשט ותאורטי, כמו "מה היה קורה אם לא היה כוח משיכה", הוא מתקשה ונאחז בדוגמאות קונקרטיות מהמציאות. בדיוק המאפיינים האלה מציבים אותו בשלב הקונקרטי, לא לפניו ולא אחריו (Babakr et al., 2019).</w:t>
      </w:r>
    </w:p>
    <w:p>
      <w:pPr>
        <w:bidi/>
        <w:spacing w:after="60" w:before="160" w:line="360" w:lineRule="auto"/>
        <w:jc w:val="right"/>
      </w:pPr>
      <w:r>
        <w:rPr>
          <w:rFonts w:ascii="David" w:hAnsi="David" w:cs="David"/>
          <w:b/>
          <w:sz w:val="24"/>
          <w:rtl w:val="1"/>
        </w:rPr>
        <w:t>שאלה 5 - ניסוי מצב הזר</w:t>
      </w:r>
    </w:p>
    <w:p>
      <w:pPr>
        <w:bidi/>
        <w:spacing w:after="120" w:before="0" w:line="360" w:lineRule="auto"/>
        <w:jc w:val="both"/>
      </w:pPr>
      <w:r>
        <w:rPr>
          <w:rFonts w:ascii="David" w:hAnsi="David" w:cs="David"/>
          <w:b w:val="0"/>
          <w:sz w:val="24"/>
          <w:rtl w:val="1"/>
        </w:rPr>
        <w:t>הניסוי שנועד לזהות את סוג ההתקשרות של התינוק בנוי מרצף של שבע אפיזודות. בתחילה מכניסים את ההורה ואת התינוק לחדר לא מוכר, והנסיינית עוזבת אותם. לאחר מכן ההורה יושב במקומו והתינוק מוזמן לשחק ולחקור, כשההורה זמין לו כבסיס בטוח. בהמשך נכנסת אישה זרה שמנהלת שיחה עם ההורה ולאט לאט פונה אל התינוק. אז מגיעה ההיפרדות הראשונה, שבה ההורה יוצא מהחדר והתינוק נותר עם הזרה בלבד. אחריה בא האיחוד הראשון, שבו ההורה שב, מרגיע את התינוק, והזרה מסתלקת. בשלב הבא מתרחשת היפרדות שנייה, והפעם התינוק נשאר לגמרי לבד בחדר. לבסוף הזרה חוזרת, ובעקבותיה ההורה, שמסיים את הרצף ואוסף את התינוק אליו. התגובות של התינוק לאורך הרצף, במיוחד ברגעי החזרה של ההורה, הן שמלמדות על טיב ההתקשרות (van IJzendoorn &amp; Kroonenberg, 1988).</w:t>
      </w:r>
    </w:p>
    <w:p>
      <w:pPr>
        <w:bidi/>
        <w:spacing w:after="120" w:before="0" w:line="360" w:lineRule="auto"/>
        <w:jc w:val="both"/>
      </w:pPr>
      <w:r>
        <w:rPr>
          <w:rFonts w:ascii="David" w:hAnsi="David" w:cs="David"/>
          <w:b w:val="0"/>
          <w:sz w:val="24"/>
          <w:rtl w:val="1"/>
        </w:rPr>
        <w:t>את כרים מאפיינת התקשרות חרדה-אמביוולנטית. בתקופה שבה נולד אחיו הקטן ואמו טיפלה במקביל בסבתא חולה, התגובות שלה כלפיו היו לא עקביות, לפעמים זמינה מאוד ולפעמים עסוקה, וכרים למד שאי אפשר להיות בטוח מה יקבל. בניסוי מסוג זה ילד כזה נסער מאוד בהיפרדות, אך באיחוד קשה להרגיע אותו, והוא מתנדנד בין רצון להיצמד לבין דחייה. גם היום הוא זקוק להרבה אישורים חוזרים, מתקשה במעברים, ונצמד לאמו יותר מבני גילו. כשהתחיל בית ספר חדש הוא בכה בכניסה כמה בקרים ברציפות והתקשה להיפרד. הדפוס הזה משפיע על הקשרים שלו, שכן הוא נוטה לחשוש שיינטש ולכן בודק שוב ושוב שהאהבה עדיין שם.</w:t>
      </w:r>
    </w:p>
    <w:p>
      <w:pPr>
        <w:bidi/>
        <w:spacing w:after="60" w:before="160" w:line="360" w:lineRule="auto"/>
        <w:jc w:val="right"/>
      </w:pPr>
      <w:r>
        <w:rPr>
          <w:rFonts w:ascii="David" w:hAnsi="David" w:cs="David"/>
          <w:b/>
          <w:sz w:val="24"/>
          <w:rtl w:val="1"/>
        </w:rPr>
        <w:t>שאלה 6 - תיאוריית ריבוי האינטליגנציות</w:t>
      </w:r>
    </w:p>
    <w:p>
      <w:pPr>
        <w:bidi/>
        <w:spacing w:after="120" w:before="0" w:line="360" w:lineRule="auto"/>
        <w:jc w:val="both"/>
      </w:pPr>
      <w:r>
        <w:rPr>
          <w:rFonts w:ascii="David" w:hAnsi="David" w:cs="David"/>
          <w:b w:val="0"/>
          <w:sz w:val="24"/>
          <w:rtl w:val="1"/>
        </w:rPr>
        <w:t>גרדנר יצא בתיאוריית ריבוי האינטליגנציות כדי לערער על הרעיון שאפשר לסכם את החוכמה של אדם במספר אחד. לטענתו קיימים כמה ערוצים נפרדים של אינטליגנציה, ואצל כל אדם הם מפותחים במידה שונה. שמונת הסוגים שהוא מנה הם: לשונית, השליטה בשפה ובמילים. לוגית-מתמטית, החשיבה בהיגיון ובמספרים. חזותית-מרחבית, ההתמצאות במרחב ובדימויים. מוזיקלית, החישה של צליל וקצב. גופנית-תנועתית, השליטה המדויקת בגוף. בין-אישית, הרגישות לאנשים אחרים. תוך-אישית, ההיכרות עם העולם הפנימי. וטבעונית, החיבור והרגישות לטבע.</w:t>
      </w:r>
    </w:p>
    <w:p>
      <w:pPr>
        <w:bidi/>
        <w:spacing w:after="120" w:before="0" w:line="360" w:lineRule="auto"/>
        <w:jc w:val="both"/>
      </w:pPr>
      <w:r>
        <w:rPr>
          <w:rFonts w:ascii="David" w:hAnsi="David" w:cs="David"/>
          <w:b w:val="0"/>
          <w:sz w:val="24"/>
          <w:rtl w:val="1"/>
        </w:rPr>
        <w:t>בכרים בולטת האינטליגנציה הגופנית-תנועתית. הגוף שלו הוא כלי החשיבה והביטוי המרכזי שלו, והוא לומד תנועות חדשות במגרש כמעט בהצצה אחת. לצידה ניכרת גם נטייה מוזיקלית חזקה, שמתבטאת בתופים שהוא מנגן בהם בקצב מדויק להפליא. פעם המורה הראה תרגיל כדורגל מסובך פעם אחת, וכרים חזר עליו מיד בצורה מושלמת בזמן שילדים אחרים עוד ניסו להבין. דרך הגוף והתנועה הוא גם מבטא רגשות שקשה לו להוציא במילים, ושם, במגרש ועל התופים, הוא מרגיש הכי מוצלח ובטוח בעצמו.</w:t>
      </w:r>
    </w:p>
    <w:p>
      <w:pPr>
        <w:bidi/>
        <w:spacing w:after="60" w:before="160" w:line="360" w:lineRule="auto"/>
        <w:jc w:val="right"/>
      </w:pPr>
      <w:r>
        <w:rPr>
          <w:rFonts w:ascii="David" w:hAnsi="David" w:cs="David"/>
          <w:b/>
          <w:sz w:val="24"/>
          <w:rtl w:val="1"/>
        </w:rPr>
        <w:t>רשימת מקורות</w:t>
      </w:r>
    </w:p>
    <w:p>
      <w:pPr>
        <w:bidi/>
        <w:spacing w:after="60" w:before="0" w:line="240" w:lineRule="auto"/>
        <w:ind w:left="360"/>
        <w:jc w:val="right"/>
      </w:pPr>
      <w:r>
        <w:rPr>
          <w:rFonts w:ascii="David" w:hAnsi="David" w:cs="David"/>
          <w:b w:val="0"/>
          <w:sz w:val="22"/>
          <w:rtl w:val="1"/>
        </w:rPr>
        <w:t>דרייפוס-חנן, ש' (2024). שאלה של התמקמות: הפסיכולוגיה החינוכית במרחב הקהילתי. פסיכולוגיה עברית. אוחזר מתוך https://www.hebpsy.net/articles.asp?id=4720</w:t>
      </w:r>
    </w:p>
    <w:p>
      <w:pPr>
        <w:bidi/>
        <w:spacing w:after="60" w:before="0" w:line="240" w:lineRule="auto"/>
        <w:ind w:left="360"/>
        <w:jc w:val="right"/>
      </w:pPr>
      <w:r>
        <w:rPr>
          <w:rFonts w:ascii="David" w:hAnsi="David" w:cs="David"/>
          <w:b w:val="0"/>
          <w:sz w:val="22"/>
          <w:rtl w:val="1"/>
        </w:rPr>
        <w:t>Babakr, Z. H., Mohamedamin, P., &amp; Kakamad, K. (2019). Piaget's cognitive developmental theory: Critical review. Education Quarterly Reviews, 2(3), 517-524.</w:t>
      </w:r>
    </w:p>
    <w:p>
      <w:pPr>
        <w:bidi/>
        <w:spacing w:after="60" w:before="0" w:line="240" w:lineRule="auto"/>
        <w:ind w:left="360"/>
        <w:jc w:val="right"/>
      </w:pPr>
      <w:r>
        <w:rPr>
          <w:rFonts w:ascii="David" w:hAnsi="David" w:cs="David"/>
          <w:b w:val="0"/>
          <w:sz w:val="22"/>
          <w:rtl w:val="1"/>
        </w:rPr>
        <w:t>Masten, A. S. (2001). Ordinary magic: Resilience processes in development. American Psychologist, 56(3), 227-238.</w:t>
      </w:r>
    </w:p>
    <w:p>
      <w:pPr>
        <w:bidi/>
        <w:spacing w:after="60" w:before="0" w:line="240" w:lineRule="auto"/>
        <w:ind w:left="360"/>
        <w:jc w:val="right"/>
      </w:pPr>
      <w:r>
        <w:rPr>
          <w:rFonts w:ascii="David" w:hAnsi="David" w:cs="David"/>
          <w:b w:val="0"/>
          <w:sz w:val="22"/>
          <w:rtl w:val="1"/>
        </w:rPr>
        <w:t>van IJzendoorn, M. H., &amp; Kroonenberg, P. M. (1988). Cross-cultural patterns of attachment: A meta-analysis of the strange situation. Child Development, 59(1), 147-156.</w:t>
      </w:r>
    </w:p>
    <w:sectPr w:rsidR="00FC693F" w:rsidRPr="0006063C" w:rsidSect="00034616">
      <w:pgSz w:w="12240" w:h="15840"/>
      <w:pgMar w:top="1120" w:right="1440" w:bottom="11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avid" w:hAnsi="David" w:cs="Davi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