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bCs/>
          <w:i w:val="false"/>
          <w:iCs w:val="false"/>
          <w:sz w:val="32"/>
          <w:szCs w:val="32"/>
          <w:rtl/>
        </w:rPr>
        <w:t xml:space="preserve">התוכנית למדעי היהדות</w:t>
      </w:r>
    </w:p>
    <w:p>
      <w:pPr>
        <w:bidi/>
        <w:spacing w:after="120" w:line="360" w:lineRule="auto"/>
        <w:jc w:val="center"/>
      </w:pPr>
      <w:r>
        <w:rPr>
          <w:rFonts w:ascii="David" w:cs="David" w:eastAsia="David" w:hAnsi="David"/>
          <w:b w:val="false"/>
          <w:bCs w:val="false"/>
          <w:i w:val="false"/>
          <w:i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8"/>
          <w:szCs w:val="28"/>
          <w:rtl/>
        </w:rPr>
        <w:t xml:space="preserve">עבודת סיום קורס:</w:t>
      </w:r>
    </w:p>
    <w:p>
      <w:pPr>
        <w:bidi/>
        <w:spacing w:after="120" w:line="360" w:lineRule="auto"/>
        <w:jc w:val="center"/>
      </w:pPr>
      <w:r>
        <w:rPr>
          <w:rFonts w:ascii="David" w:cs="David" w:eastAsia="David" w:hAnsi="David"/>
          <w:b/>
          <w:bCs/>
          <w:i w:val="false"/>
          <w:iCs w:val="false"/>
          <w:sz w:val="36"/>
          <w:szCs w:val="36"/>
          <w:rtl/>
        </w:rPr>
        <w:t xml:space="preserve">אדם, ספרות ומעשה בימי חז"ל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סמסטר ב תשפ"ו</w:t>
      </w:r>
    </w:p>
    <w:p>
      <w:pPr>
        <w:bidi/>
        <w:spacing w:after="120" w:line="360" w:lineRule="auto"/>
        <w:jc w:val="center"/>
      </w:pPr>
      <w:r>
        <w:rPr>
          <w:rFonts w:ascii="David" w:cs="David" w:eastAsia="David" w:hAnsi="David"/>
          <w:b w:val="false"/>
          <w:bCs w:val="false"/>
          <w:i w:val="false"/>
          <w:i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מגישה: מסאלחה חסאן</w:t>
      </w:r>
    </w:p>
    <w:p>
      <w:pPr>
        <w:bidi/>
        <w:spacing w:after="120" w:line="360" w:lineRule="auto"/>
        <w:jc w:val="center"/>
      </w:pPr>
      <w:r>
        <w:rPr>
          <w:rFonts w:ascii="David" w:cs="David" w:eastAsia="David" w:hAnsi="David"/>
          <w:b w:val="false"/>
          <w:bCs w:val="false"/>
          <w:i w:val="false"/>
          <w:iCs w:val="false"/>
          <w:sz w:val="26"/>
          <w:szCs w:val="26"/>
          <w:rtl/>
        </w:rPr>
        <w:t xml:space="preserve">ת"ז: 205513898</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i w:val="false"/>
          <w:iCs w:val="false"/>
          <w:sz w:val="24"/>
          <w:szCs w:val="24"/>
          <w:rtl/>
        </w:rPr>
        <w:t xml:space="preserve">א. הטקסט הנבחר</w:t>
      </w:r>
    </w:p>
    <w:p>
      <w:pPr>
        <w:bidi/>
        <w:spacing w:after="120" w:line="360" w:lineRule="auto"/>
        <w:jc w:val="both"/>
      </w:pPr>
      <w:r>
        <w:rPr>
          <w:rFonts w:ascii="David" w:cs="David" w:eastAsia="David" w:hAnsi="David"/>
          <w:b w:val="false"/>
          <w:bCs w:val="false"/>
          <w:i w:val="false"/>
          <w:iCs w:val="false"/>
          <w:sz w:val="24"/>
          <w:szCs w:val="24"/>
          <w:rtl/>
        </w:rPr>
        <w:t xml:space="preserve">נבחרתי לשאת דברים בפתיחת שנת הפעילות של צוות שאני שותפה בהובלתו. בחרתי לבסס את הדברים על סוגיית עגלה ערופה שנלמדה במפגש הראשון, ובמרכזה משנה, מסכת סוטה פרק ט, משנה ו, עם הרחבתה בתלמוד הבבלי, סוטה מו ע"ב:</w:t>
      </w:r>
    </w:p>
    <w:p>
      <w:pPr>
        <w:bidi/>
        <w:spacing w:after="120" w:line="360" w:lineRule="auto"/>
        <w:ind w:left="567" w:right="567"/>
        <w:jc w:val="both"/>
      </w:pPr>
      <w:r>
        <w:rPr>
          <w:rFonts w:ascii="David" w:cs="David" w:eastAsia="David" w:hAnsi="David"/>
          <w:i/>
          <w:iCs/>
          <w:sz w:val="24"/>
          <w:szCs w:val="24"/>
          <w:rtl/>
        </w:rPr>
        <w:t xml:space="preserve">"זקני אותה העיר רוחצין את ידיהן במים במקום עריפה של עגלה, ואומרים: ידינו לא שפכה את הדם הזה ועינינו לא ראו. וכי על דעתנו עלתה, שזקני בית דין שופכי דמים הן?! אלא: שלא בא לידינו ופטרנוהו בלא מזון, ולא ראינוהו והנחנוהו בלא לויה."</w:t>
      </w:r>
    </w:p>
    <w:p>
      <w:pPr>
        <w:bidi/>
        <w:spacing w:after="120" w:line="360" w:lineRule="auto"/>
        <w:jc w:val="both"/>
      </w:pPr>
      <w:r>
        <w:rPr>
          <w:rFonts w:ascii="David" w:cs="David" w:eastAsia="David" w:hAnsi="David"/>
          <w:b w:val="false"/>
          <w:bCs w:val="false"/>
          <w:i w:val="false"/>
          <w:iCs w:val="false"/>
          <w:sz w:val="24"/>
          <w:szCs w:val="24"/>
          <w:rtl/>
        </w:rPr>
        <w:t xml:space="preserve">המשנה מפרשת את הטקס המקראי שבספר דברים, פרק כא: כאשר נמצא חלל בשדה ואין יודעים מי הכהו, יוצאים זקני העיר הקרובה, עורפים עגלה בנחל ומצהירים "ידינו לא שפכו את הדם הזה". המשנה שואלת את השאלה המתבקשת, וכי עלה על הדעת שזקני בית דין רוצחים, ותשובתה מרחיקת לכת: ההצהרה אינה על הרצח אלא על המחדל. הזקנים מעידים שהאיש לא יצא מעירם רעב ובלא ליווי. התלמוד שם ממשיך ומחריף: "אמר רבי יוחנן משום רבי מאיר: כל שאינו מלוה ומתלוה כאילו שופך דמים", ולצדו: "כל המלוה את חברו ארבע אמות בעיר אינו ניזוק".</w:t>
      </w:r>
    </w:p>
    <w:p>
      <w:pPr>
        <w:bidi/>
        <w:spacing w:after="60" w:before="120" w:line="360" w:lineRule="auto"/>
        <w:jc w:val="right"/>
      </w:pPr>
      <w:r>
        <w:rPr>
          <w:rFonts w:ascii="David" w:cs="David" w:eastAsia="David" w:hAnsi="David"/>
          <w:b/>
          <w:bCs/>
          <w:i w:val="false"/>
          <w:iCs w:val="false"/>
          <w:sz w:val="24"/>
          <w:szCs w:val="24"/>
          <w:rtl/>
        </w:rPr>
        <w:t xml:space="preserve">ב. תיאור הטקסט</w:t>
      </w:r>
    </w:p>
    <w:p>
      <w:pPr>
        <w:bidi/>
        <w:spacing w:after="120" w:line="360" w:lineRule="auto"/>
        <w:jc w:val="both"/>
      </w:pPr>
      <w:r>
        <w:rPr>
          <w:rFonts w:ascii="David" w:cs="David" w:eastAsia="David" w:hAnsi="David"/>
          <w:b w:val="false"/>
          <w:bCs w:val="false"/>
          <w:i w:val="false"/>
          <w:iCs w:val="false"/>
          <w:sz w:val="24"/>
          <w:szCs w:val="24"/>
          <w:rtl/>
        </w:rPr>
        <w:t xml:space="preserve">מקור הטקסט במשנה, מסכת סוטה, בפרק העוסק בטקסים שבטלו, והרחבתו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בקורס נלמד המקור כדוגמה לתנועה של חז"ל מן המקרא אל המשנה ואל התלמוד: מטקס כפרה פולחני אל אמירה מוסרית על אחריות חברתית (סבאג ישראל, 2026).</w:t>
      </w:r>
    </w:p>
    <w:p>
      <w:pPr>
        <w:bidi/>
        <w:spacing w:after="60" w:before="120" w:line="360" w:lineRule="auto"/>
        <w:jc w:val="right"/>
      </w:pPr>
      <w:r>
        <w:rPr>
          <w:rFonts w:ascii="David" w:cs="David" w:eastAsia="David" w:hAnsi="David"/>
          <w:b/>
          <w:bCs/>
          <w:i w:val="false"/>
          <w:iCs w:val="false"/>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i w:val="false"/>
          <w:i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"כל שאינו מלווה כאילו שופך דמים" חריפה במתכוון, והחריפות הזאת היא שנחקקת בזיכרון השומעים.</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i w:val="false"/>
          <w:iCs w:val="false"/>
          <w:sz w:val="24"/>
          <w:szCs w:val="24"/>
          <w:rtl/>
        </w:rPr>
        <w:t xml:space="preserve">א. תיאור החיבור</w:t>
      </w:r>
    </w:p>
    <w:p>
      <w:pPr>
        <w:bidi/>
        <w:spacing w:after="120" w:line="360" w:lineRule="auto"/>
        <w:jc w:val="both"/>
      </w:pPr>
      <w:r>
        <w:rPr>
          <w:rFonts w:ascii="David" w:cs="David" w:eastAsia="David" w:hAnsi="David"/>
          <w:b w:val="false"/>
          <w:bCs w:val="false"/>
          <w:i w:val="false"/>
          <w:iCs w:val="false"/>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על פי מבואו של הלברטל (ל.ת.) וכפי שנלמדו במפגשים (סבאג ישראל, 2026):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 (סבאג ישראל, 2026).</w:t>
      </w:r>
    </w:p>
    <w:p>
      <w:pPr>
        <w:bidi/>
        <w:spacing w:after="60" w:before="120" w:line="360" w:lineRule="auto"/>
        <w:jc w:val="right"/>
      </w:pPr>
      <w:r>
        <w:rPr>
          <w:rFonts w:ascii="David" w:cs="David" w:eastAsia="David" w:hAnsi="David"/>
          <w:b/>
          <w:bCs/>
          <w:i w:val="false"/>
          <w:iCs w:val="false"/>
          <w:sz w:val="24"/>
          <w:szCs w:val="24"/>
          <w:rtl/>
        </w:rPr>
        <w:t xml:space="preserve">ב. משמעות החיבור והשינוי שחולל</w:t>
      </w:r>
    </w:p>
    <w:p>
      <w:pPr>
        <w:bidi/>
        <w:spacing w:after="120" w:line="360" w:lineRule="auto"/>
        <w:jc w:val="both"/>
      </w:pPr>
      <w:r>
        <w:rPr>
          <w:rFonts w:ascii="David" w:cs="David" w:eastAsia="David" w:hAnsi="David"/>
          <w:b w:val="false"/>
          <w:bCs w:val="false"/>
          <w:i w:val="false"/>
          <w:iCs w:val="false"/>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היא "הזיכרון המארגן" של עולם החכמים (סבאג ישראל, 2026). היא גם יצרה שפה משותפת לעם כולו. שני התלמודים, הבבלי והירושלמי, נבנו כפירוש עליה, וכל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 (סבאג ישראל, 2026).</w:t>
      </w:r>
    </w:p>
    <w:p>
      <w:pPr>
        <w:bidi/>
        <w:spacing w:after="60" w:before="120" w:line="360" w:lineRule="auto"/>
        <w:jc w:val="right"/>
      </w:pPr>
      <w:r>
        <w:rPr>
          <w:rFonts w:ascii="David" w:cs="David" w:eastAsia="David" w:hAnsi="David"/>
          <w:b/>
          <w:bCs/>
          <w:i w:val="false"/>
          <w:iCs w:val="false"/>
          <w:sz w:val="24"/>
          <w:szCs w:val="24"/>
          <w:rtl/>
        </w:rPr>
        <w:t xml:space="preserve">ג. דוגמה מתוך החיבור</w:t>
      </w:r>
    </w:p>
    <w:p>
      <w:pPr>
        <w:bidi/>
        <w:spacing w:after="120" w:line="360" w:lineRule="auto"/>
        <w:jc w:val="both"/>
      </w:pPr>
      <w:r>
        <w:rPr>
          <w:rFonts w:ascii="David" w:cs="David" w:eastAsia="David" w:hAnsi="David"/>
          <w:b w:val="false"/>
          <w:bCs w:val="false"/>
          <w:i w:val="false"/>
          <w:i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p>
    <w:p>
      <w:pPr>
        <w:bidi/>
        <w:spacing w:after="120" w:line="360" w:lineRule="auto"/>
        <w:jc w:val="both"/>
      </w:pPr>
      <w:r>
        <w:rPr>
          <w:rFonts w:ascii="David" w:cs="David" w:eastAsia="David" w:hAnsi="David"/>
          <w:b w:val="false"/>
          <w:bCs w:val="false"/>
          <w:i w:val="false"/>
          <w:iCs w:val="false"/>
          <w:sz w:val="24"/>
          <w:szCs w:val="24"/>
          <w:rtl/>
        </w:rPr>
        <w:t xml:space="preserve">במשנה קצרה זו ניכר כל מה שתואר לעיל. היא פותחת מסכת שלמה המוקדשת לנושא אחד, הסוכה, בלא זיקה לסדר הפסוקים. לשונה פסקנית, קובעת שיעורים מספריים מדויקים ואינה מנמקת. והיא משמרת בגוף ההלכה את דעת היחיד החולקת, "רבי יהודה מכשיר",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3: הקטע מתוך הסרט "אגדת חורבן"</w:t>
      </w:r>
    </w:p>
    <w:p>
      <w:pPr>
        <w:bidi/>
        <w:spacing w:after="60" w:before="120" w:line="360" w:lineRule="auto"/>
        <w:jc w:val="right"/>
      </w:pPr>
      <w:r>
        <w:rPr>
          <w:rFonts w:ascii="David" w:cs="David" w:eastAsia="David" w:hAnsi="David"/>
          <w:b/>
          <w:bCs/>
          <w:i w:val="false"/>
          <w:iCs w:val="false"/>
          <w:sz w:val="24"/>
          <w:szCs w:val="24"/>
          <w:rtl/>
        </w:rPr>
        <w:t xml:space="preserve">א. המדרש שעליו מבוסס הקטע</w:t>
      </w:r>
    </w:p>
    <w:p>
      <w:pPr>
        <w:bidi/>
        <w:spacing w:after="120" w:line="360" w:lineRule="auto"/>
        <w:jc w:val="both"/>
      </w:pPr>
      <w:r>
        <w:rPr>
          <w:rFonts w:ascii="David" w:cs="David" w:eastAsia="David" w:hAnsi="David"/>
          <w:b w:val="false"/>
          <w:bCs w:val="false"/>
          <w:i w:val="false"/>
          <w:iCs w:val="false"/>
          <w:sz w:val="24"/>
          <w:szCs w:val="24"/>
          <w:rtl/>
        </w:rPr>
        <w:t xml:space="preserve">הקטע (דקות 01:03:30 עד 01:10:00) מבוסס על אגדת יציאתו של רבן יוחנן בן זכאי מירושלים הנצורה, תלמוד בבלי, מסכת גיטין דף נו ע"א-ע"ב, שנלמדה ביחידה "צמיחה מתוך משבר". להלן החלקים הרלוונטיים,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[רבן יוחנן]: בוא אלי בצנעה. בא. אמר לו: עד מתי תעשו כך ותהרגו את העולם ברעב? אמר לו: מה אעשה? שאם אומר להם כך, יהרגו אותי. אמר לו: אני רואה תקנה בשבילי, שאצא [מן העיר]; אפשר שתהיה בזה הצלה מועטה... עשה רבן יוחנן כך [העמיד פני מת]: נכנס תחתיו רבי אליעזר מצד אחד ורבי יהושע מצד אחר. כשהגיעו לפתח [השער] רצו [הבריונים] לדקור אותו. אמר להם: יאמרו 'את רבם דקרו'!... פתחו את השער, יצא. כשהגיע לשם אמר: שלום עליך המלך, שלום עליך המלך!... [משנתבשר אספסיינוס כי הוכתר לקיסר, אמר:] בקש ממני דבר ואתן לך. אמר לו: תן לי יבנה וחכמיה, ושושלת רבן גמליאל, ורופאים שירפאו את רבי צדוק. קרא עליו רב יוסף, ויש אומרים רבי עקיבא: 'מֵשִׁיב חֲכָמִים אָחוֹר וְדַעְתָּם יְסַכֵּל', שהיה לו לומר לו שיניח להם הפעם."</w:t>
      </w:r>
    </w:p>
    <w:p>
      <w:pPr>
        <w:bidi/>
        <w:spacing w:after="60" w:before="120" w:line="360" w:lineRule="auto"/>
        <w:jc w:val="right"/>
      </w:pPr>
      <w:r>
        <w:rPr>
          <w:rFonts w:ascii="David" w:cs="David" w:eastAsia="David" w:hAnsi="David"/>
          <w:b/>
          <w:bCs/>
          <w:i w:val="false"/>
          <w:iCs w:val="false"/>
          <w:sz w:val="24"/>
          <w:szCs w:val="24"/>
          <w:rtl/>
        </w:rPr>
        <w:t xml:space="preserve">ב. בין המדרש לסרט: דמיונות והבדלים</w:t>
      </w:r>
    </w:p>
    <w:p>
      <w:pPr>
        <w:bidi/>
        <w:spacing w:after="120" w:line="360" w:lineRule="auto"/>
        <w:jc w:val="both"/>
      </w:pPr>
      <w:r>
        <w:rPr>
          <w:rFonts w:ascii="David" w:cs="David" w:eastAsia="David" w:hAnsi="David"/>
          <w:b w:val="false"/>
          <w:bCs w:val="false"/>
          <w:i w:val="false"/>
          <w:iCs w:val="false"/>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יאמרו כי הקנאים פגעו ברבם ("יאמרו: את רבם דקרו"); בסרט הם נסוגים בקריאה "תנו כבוד לתורה". השלישי, מטרת היציאה: בסרט כבמדרש, ההצלה איננה הצלת העיר. רבן יוחנן אומר לבן בטיח במפורש שהוא דואג "שלא תאבד התורה שבעל פה מישראל", ניסוח קולנועי של מה שיבשיל אצל אספסיינוס לבקשה "תן לי יבנה וחכמיה".</w:t>
      </w:r>
    </w:p>
    <w:p>
      <w:pPr>
        <w:bidi/>
        <w:spacing w:after="120" w:line="360" w:lineRule="auto"/>
        <w:jc w:val="both"/>
      </w:pPr>
      <w:r>
        <w:rPr>
          <w:rFonts w:ascii="David" w:cs="David" w:eastAsia="David" w:hAnsi="David"/>
          <w:b w:val="false"/>
          <w:bCs w:val="false"/>
          <w:i w:val="false"/>
          <w:iCs w:val="false"/>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והמפגש עם הדוד נטען ברגש אישי: הוא מגיע אליו אָבֵל על אמו ומיוסר על שריפת המחסנים שהמיטה את הרעב. שנית, כיוון ההאשמה מתהפך: בבבלי רבן יוחנן הוא שמוכיח את אחיינו, "עד מתי תעשו כך ותהרגו את העולם ברעב"; בסרט דווקא רבן יוחנן מרגיע את בן בטיח וקובע שהרעב היה גזרה משמיים ובן בטיח לא היה אלא שליחהּ, תיאולוגיה מפורשת שאין לה זכר באגדה. שלישית, פרטי התחבולה ומה שהושמט: הסרט מוסיף את גזרתו של בר גיורא שאיש לא ייצא מן החומות מלבד המתים, את העמדת פני החולה ואת הדבר המצחין שהונח במיטה כדי לשכנע במותו (פרטים ממסורת איכה רבה שאינם בבבלי); ומנגד, קול הביקורת התלמודי, קריאת רב יוסף או רבי עקיבא "משיב חכמים אחור", נעדר מן הקטע כליל, והצופה נותר לשפוט בעצמו.</w:t>
      </w:r>
    </w:p>
    <w:p>
      <w:pPr>
        <w:bidi/>
        <w:spacing w:after="60" w:before="120" w:line="360" w:lineRule="auto"/>
        <w:jc w:val="right"/>
      </w:pPr>
      <w:r>
        <w:rPr>
          <w:rFonts w:ascii="David" w:cs="David" w:eastAsia="David" w:hAnsi="David"/>
          <w:b/>
          <w:bCs/>
          <w:i w:val="false"/>
          <w:iCs w:val="false"/>
          <w:sz w:val="24"/>
          <w:szCs w:val="24"/>
          <w:rtl/>
        </w:rPr>
        <w:t xml:space="preserve">ג. הסבר המדרש לאור המאמר מן הסילבוס</w:t>
      </w:r>
    </w:p>
    <w:p>
      <w:pPr>
        <w:bidi/>
        <w:spacing w:after="120" w:line="360" w:lineRule="auto"/>
        <w:jc w:val="both"/>
      </w:pPr>
      <w:r>
        <w:rPr>
          <w:rFonts w:ascii="David" w:cs="David" w:eastAsia="David" w:hAnsi="David"/>
          <w:b w:val="false"/>
          <w:bCs w:val="false"/>
          <w:i w:val="false"/>
          <w:iCs w:val="false"/>
          <w:sz w:val="24"/>
          <w:szCs w:val="24"/>
          <w:rtl/>
        </w:rPr>
        <w:t xml:space="preserve">במאמרה על הסיפור מציעה דליה מרקס (ל.ת.)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 בעקבות רוזן (כפי שמצוטט אצל מרקס, ל.ת.) היא רואה במסע בארון המתים ביצוע סמלי של שינוי הצורה שעברה היהדות: היהודים מתו כעם של הגוף, של הארץ ושל פולחן המקדש, ונולדו מחדש כעם הספר. רבן יוחנן חייב למות מוות סמלי כדי שדבר חדש יוכל להיוולד, והיציאה בארון היא הרפיה מאחיזה בירושלים שדינה נגזר. הקריאה הזאת מאירה היטב את הקטע: בן בטיח עסוק באבנים, בעצים ובאשמת המתים, ואילו רבן יוחנן כבר חי את המציאות הבאה. על הבקשה "תן לי יבנה וחכמיה" מראה מרקס, בעקבות שרמר (כפי שמצוטט אצל מרקס, ל.ת.), שהיא מעמידה את שכבת החכמים כהנהגתו החדשה של העם: יבנה וחכמיה תחת ירושלים ובית מקדשה.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 (מרקס, ל.ת.).</w:t>
      </w:r>
    </w:p>
    <w:p>
      <w:pPr>
        <w:bidi/>
        <w:spacing w:after="60" w:before="120" w:line="360" w:lineRule="auto"/>
        <w:jc w:val="right"/>
      </w:pPr>
      <w:r>
        <w:rPr>
          <w:rFonts w:ascii="David" w:cs="David" w:eastAsia="David" w:hAnsi="David"/>
          <w:b/>
          <w:bCs/>
          <w:i w:val="false"/>
          <w:iCs w:val="false"/>
          <w:sz w:val="24"/>
          <w:szCs w:val="24"/>
          <w:rtl/>
        </w:rPr>
        <w:t xml:space="preserve">ד. משמעות המדרש לימינו</w:t>
      </w:r>
    </w:p>
    <w:p>
      <w:pPr>
        <w:bidi/>
        <w:spacing w:after="120" w:line="360" w:lineRule="auto"/>
        <w:jc w:val="both"/>
      </w:pPr>
      <w:r>
        <w:rPr>
          <w:rFonts w:ascii="David" w:cs="David" w:eastAsia="David" w:hAnsi="David"/>
          <w:b w:val="false"/>
          <w:bCs w:val="false"/>
          <w:i w:val="false"/>
          <w:iCs w:val="false"/>
          <w:sz w:val="24"/>
          <w:szCs w:val="24"/>
          <w:rtl/>
        </w:rPr>
        <w:t xml:space="preserve">זהו בעיניי המדרש הנלמד ביותר משום שהוא הסיפור המכונן של צמיחה מתוך משבר, הציר שעליו נבנתה היהדות הרבנית כולה. יבנה נעשתה ארכיטיפ תודעתי, וכל מקום תורה שתלמידים נוהרים אליו הוא בחזקת יבנה (מרקס, ל.ת.). הסיפור מעמיד דגם מנהיגות שממשיך לדבר אל קוראיו: מול קנאות הנלחמת עד כלות, פרגמטיזם שמציל את מה שאפשר להציל ומתרגם חורבן לבניין. מרקס (ל.ת.)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"משיב חכמים אחור", היא סוד כוחו. הוא אינו מוסר חד משמעי אלא מראָה, לאומה וגם לכל אדם המקים את חייו מן החורבות.</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b w:val="false"/>
          <w:bCs w:val="false"/>
          <w:i w:val="false"/>
          <w:iCs w:val="false"/>
          <w:sz w:val="24"/>
          <w:szCs w:val="24"/>
          <w:rtl/>
        </w:rPr>
        <w:t xml:space="preserve">בחרתי במקור הראשון: סיפור תחילתו של רבי אליעזר בן הורקנוס (פרקי דרבי אליעזר, פרקים א-ב, ומקבילות באבות דרבי נתן נוסח א ובמדרשים נוספים), שנלמד בדף החברותא "איך נעשים חכמ.ה".</w:t>
      </w:r>
    </w:p>
    <w:p>
      <w:pPr>
        <w:bidi/>
        <w:spacing w:after="60" w:before="120" w:line="360" w:lineRule="auto"/>
        <w:jc w:val="right"/>
      </w:pPr>
      <w:r>
        <w:rPr>
          <w:rFonts w:ascii="David" w:cs="David" w:eastAsia="David" w:hAnsi="David"/>
          <w:b/>
          <w:bCs/>
          <w:i w:val="false"/>
          <w:iCs w:val="false"/>
          <w:sz w:val="24"/>
          <w:szCs w:val="24"/>
          <w:rtl/>
        </w:rPr>
        <w:t xml:space="preserve">א. הסבר הטקסט במילותיי</w:t>
      </w:r>
    </w:p>
    <w:p>
      <w:pPr>
        <w:bidi/>
        <w:spacing w:after="120" w:line="360" w:lineRule="auto"/>
        <w:jc w:val="both"/>
      </w:pPr>
      <w:r>
        <w:rPr>
          <w:rFonts w:ascii="David" w:cs="David" w:eastAsia="David" w:hAnsi="David"/>
          <w:b w:val="false"/>
          <w:bCs w:val="false"/>
          <w:i w:val="false"/>
          <w:iCs w:val="false"/>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"שאני מבקש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להדיר את בנו מנכסיו, ומוצא אותו דורש "דברים שלא שמעתם אוזן מעולם", פניו מאירות "וקרנותיו יוצאות כקרנותיו של משה". רבן יוחנן מנשקו וקורא "אשריכם אברהם יצחק ויעקב שיצא זה מחלציכם", והאב שבא לנשל עומד ומוריש לבנו את כל נכסיו. אליעזר מסרב לראות בנכסים תכלית: "לא ביקשתי מלפני הקדוש ברוך הוא אלא תורה בלבד".</w:t>
      </w:r>
    </w:p>
    <w:p>
      <w:pPr>
        <w:bidi/>
        <w:spacing w:after="60" w:before="120" w:line="360" w:lineRule="auto"/>
        <w:jc w:val="right"/>
      </w:pPr>
      <w:r>
        <w:rPr>
          <w:rFonts w:ascii="David" w:cs="David" w:eastAsia="David" w:hAnsi="David"/>
          <w:b/>
          <w:bCs/>
          <w:i w:val="false"/>
          <w:iCs w:val="false"/>
          <w:sz w:val="24"/>
          <w:szCs w:val="24"/>
          <w:rtl/>
        </w:rPr>
        <w:t xml:space="preserve">ב. מגמות ומאפיינים של תקופת חז"ל בקטע</w:t>
      </w:r>
    </w:p>
    <w:p>
      <w:pPr>
        <w:bidi/>
        <w:spacing w:after="120" w:line="360" w:lineRule="auto"/>
        <w:jc w:val="both"/>
      </w:pPr>
      <w:r>
        <w:rPr>
          <w:rFonts w:ascii="David" w:cs="David" w:eastAsia="David" w:hAnsi="David"/>
          <w:b w:val="false"/>
          <w:bCs w:val="false"/>
          <w:i w:val="false"/>
          <w:iCs w:val="false"/>
          <w:sz w:val="24"/>
          <w:szCs w:val="24"/>
          <w:rtl/>
        </w:rPr>
        <w:t xml:space="preserve">המגמה הראשונה היא הציר המרכזי שנלמד בקורס: המרכז עובר מבית המקדש אל בית המדרש, וממוקד הקדושה שבמקום אל האדם (לורברבוים, 2018).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"אילו קרקעות ביקשתי... אילו כסף וזהב ביקשתי... לא ביקשתי אלא תורה בלבד".</w:t>
      </w:r>
    </w:p>
    <w:p>
      <w:pPr>
        <w:bidi/>
        <w:spacing w:after="120" w:line="360" w:lineRule="auto"/>
        <w:jc w:val="both"/>
      </w:pPr>
      <w:r>
        <w:rPr>
          <w:rFonts w:ascii="David" w:cs="David" w:eastAsia="David" w:hAnsi="David"/>
          <w:b w:val="false"/>
          <w:bCs w:val="false"/>
          <w:i w:val="false"/>
          <w:iCs w:val="false"/>
          <w:sz w:val="24"/>
          <w:szCs w:val="24"/>
          <w:rtl/>
        </w:rPr>
        <w:t xml:space="preserve">מגמה שנייה נלמדה ביחידה "מנביא לחכם": שינוי תפיסת ההנהגה ממלך, כהן ונביא אל תלמיד החכם (סבאג ישראל, 2026). תיאורו של אליעזר הדורש, "פניו מאירות כאור החמה וקרנותיו יוצאות כקרנותיו של משה", שואל במכוון את דמות משה היורד מסיני, ומעמיד את הדרשן בבית המדרש כממשיכה של ההתגלות. החכם מחדש "דברים שלא שמעתם אוזן מעולם", והחידוש הפרשני בא במקומה של הנבואה.</w:t>
      </w:r>
    </w:p>
    <w:p>
      <w:pPr>
        <w:bidi/>
        <w:spacing w:after="120" w:line="360" w:lineRule="auto"/>
        <w:jc w:val="both"/>
      </w:pPr>
      <w:r>
        <w:rPr>
          <w:rFonts w:ascii="David" w:cs="David" w:eastAsia="David" w:hAnsi="David"/>
          <w:b w:val="false"/>
          <w:bCs w:val="false"/>
          <w:i w:val="false"/>
          <w:iCs w:val="false"/>
          <w:sz w:val="24"/>
          <w:szCs w:val="24"/>
          <w:rtl/>
        </w:rPr>
        <w:t xml:space="preserve">ולצד אלה משתקף בקטע האתוס שלפיו מעמדו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i w:val="false"/>
          <w:iCs w:val="false"/>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b w:val="false"/>
          <w:bCs w:val="false"/>
          <w:i w:val="false"/>
          <w:iCs w:val="false"/>
          <w:sz w:val="24"/>
          <w:szCs w:val="24"/>
          <w:rtl/>
        </w:rPr>
        <w:t xml:space="preserve">את רבי אליעזר עצמו פגשנו במקורות נוספים במפגשים, והם מצטרפים לדיוקן עקבי. במשנה, מסכת אבות פרק ב, משנה ח, שנלמדה ביחידה "צמיחה מתוך משבר", מונה רבן יוחנן בן זכאי את חמשת תלמידיו ומגדיר את שבחו: "אליעזר בן הורקנוס, בור סוּד שאינו מאבד טיפה". הדימוי מתכתב להפליא עם סיפור תחילתו. כשנדרש שם לדרוש לפני רבו השיב: "משל לבור שאינו יכול להוציא מים יותר ממה שהוא מכניס, כך אין אני יכול לומר דברי תורה יותר ממה שקיבלתי ממך". רבי אליעזר הוא איש המסורת בהתגלמותו, וכוחו בשימור מדוקדק של מה שקיבל. בהמשך שם (משנה ט), כשנשאלים התלמידים איזוהי דרך טובה שידבק בה האדם, תשובתו היא "עין טובה".</w:t>
      </w:r>
    </w:p>
    <w:p>
      <w:pPr>
        <w:bidi/>
        <w:spacing w:after="120" w:line="360" w:lineRule="auto"/>
        <w:jc w:val="both"/>
      </w:pPr>
      <w:r>
        <w:rPr>
          <w:rFonts w:ascii="David" w:cs="David" w:eastAsia="David" w:hAnsi="David"/>
          <w:b w:val="false"/>
          <w:bCs w:val="false"/>
          <w:i w:val="false"/>
          <w:iCs w:val="false"/>
          <w:sz w:val="24"/>
          <w:szCs w:val="24"/>
          <w:rtl/>
        </w:rPr>
        <w:t xml:space="preserve">פן אחר, שנוי במחלוקת, נלמד במפגש על לימוד תורה לנשים. במשנה סוטה פרק ג, משנה ד, מול בן עזאי הקובע "חייב אדם ללמד את בתו תורה", מציב רבי אליעזר את העמדה המחמירה: "כל המלמד את בתו תורה, כאילו מלמדה תפלות". הבבלי (סוטה כא ע"ב) מטעים את דבריו בדרשת רבי אבהו, "כיוון שנכנסה חכמה באדם נכנסה עמו ערמומית". בעקבות דיונו של בויארין (1999) נלמדה המחלוקת הזאת כמאבק עקרוני על גבולות בית המדרש ועל השאלה מי שותף לתאוות הלימוד. וכאן מתחדד פרדוקס בדמותו: האיש שפרץ בעצמו כל גבול כדי להיכנס לבית המדרש, בגיל מאוחר, נגד אביו וכנגד כל הסיכויים, הוא הנועל את שעריו בפני נשים.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w:t>
      </w:r>
    </w:p>
    <w:p>
      <w:r>
        <w:br w:type="page"/>
      </w:r>
    </w:p>
    <w:p>
      <w:pPr>
        <w:bidi/>
        <w:spacing w:after="120" w:before="240" w:line="360" w:lineRule="auto"/>
        <w:jc w:val="right"/>
      </w:pPr>
      <w:r>
        <w:rPr>
          <w:rFonts w:ascii="David" w:cs="David" w:eastAsia="David" w:hAnsi="David"/>
          <w:b/>
          <w:bCs/>
          <w:i w:val="false"/>
          <w:iCs w:val="false"/>
          <w:sz w:val="28"/>
          <w:szCs w:val="28"/>
          <w:rtl/>
        </w:rPr>
        <w:t xml:space="preserve">רשימת מקורות</w:t>
      </w:r>
    </w:p>
    <w:p>
      <w:pPr>
        <w:bidi/>
        <w:spacing w:after="120" w:line="360" w:lineRule="auto"/>
        <w:ind w:right="709" w:hanging="709"/>
        <w:jc w:val="right"/>
      </w:pPr>
      <w:r>
        <w:rPr>
          <w:rFonts w:ascii="David" w:cs="David" w:eastAsia="David" w:hAnsi="David"/>
          <w:sz w:val="24"/>
          <w:szCs w:val="24"/>
          <w:rtl/>
        </w:rPr>
        <w:t xml:space="preserve">בויארין, ד' (1999). תאוות הלימוד: התורה כאישה אחרת. בתוך הבשר שברוח: שיח המיניות בתלמוד (עמ' 170-183). עם עובד.</w:t>
      </w:r>
    </w:p>
    <w:p>
      <w:pPr>
        <w:bidi/>
        <w:spacing w:after="120" w:line="360" w:lineRule="auto"/>
        <w:ind w:right="709" w:hanging="709"/>
        <w:jc w:val="right"/>
      </w:pPr>
      <w:r>
        <w:rPr>
          <w:rFonts w:ascii="David" w:cs="David" w:eastAsia="David" w:hAnsi="David"/>
          <w:sz w:val="24"/>
          <w:szCs w:val="24"/>
          <w:rtl/>
        </w:rPr>
        <w:t xml:space="preserve">הלברטל, מ' (ל.ת.). מבוא למשנה. בתוך שישה סדרי משנה (סדרת עם הספר). ידיעות אחרונות.</w:t>
      </w:r>
    </w:p>
    <w:p>
      <w:pPr>
        <w:bidi/>
        <w:spacing w:after="120" w:line="360" w:lineRule="auto"/>
        <w:ind w:right="709" w:hanging="709"/>
        <w:jc w:val="right"/>
      </w:pPr>
      <w:r>
        <w:rPr>
          <w:rFonts w:ascii="David" w:cs="David" w:eastAsia="David" w:hAnsi="David"/>
          <w:sz w:val="24"/>
          <w:szCs w:val="24"/>
          <w:rtl/>
        </w:rPr>
        <w:t xml:space="preserve">לורברבוים, י' (2018). ממקדש לאדם: תמורות במוקד הקדושה בספרות חז"ל. דעת: כתב עת לפילוסופיה יהודית וקבלה, 86, 377-396.</w:t>
      </w:r>
    </w:p>
    <w:p>
      <w:pPr>
        <w:bidi/>
        <w:spacing w:after="120" w:line="360" w:lineRule="auto"/>
        <w:ind w:right="709" w:hanging="709"/>
        <w:jc w:val="right"/>
      </w:pPr>
      <w:r>
        <w:rPr>
          <w:rFonts w:ascii="David" w:cs="David" w:eastAsia="David" w:hAnsi="David"/>
          <w:sz w:val="24"/>
          <w:szCs w:val="24"/>
          <w:rtl/>
        </w:rPr>
        <w:t xml:space="preserve">מרקס, ד' (ל.ת.). רבן יוחנן בן זכאי והקמת יבנה: ניתוח והערכת הסיפור בראי הזמן.</w:t>
      </w:r>
    </w:p>
    <w:p>
      <w:pPr>
        <w:bidi/>
        <w:spacing w:after="120" w:line="360" w:lineRule="auto"/>
        <w:ind w:right="709" w:hanging="709"/>
        <w:jc w:val="right"/>
      </w:pPr>
      <w:r>
        <w:rPr>
          <w:rFonts w:ascii="David" w:cs="David" w:eastAsia="David" w:hAnsi="David"/>
          <w:sz w:val="24"/>
          <w:szCs w:val="24"/>
          <w:rtl/>
        </w:rPr>
        <w:t xml:space="preserve">סבאג ישראל, ח' (2026). מצגות, דפי מקורות ודפי חברותא בקורס אדם, ספרות ומעשה בימי חז"ל [חומרי קורס].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2026-07-30T11:54:34.555Z</dcterms:created>
  <dcterms:modified xsi:type="dcterms:W3CDTF">2026-07-30T11:54:34.556Z</dcterms:modified>
</cp:coreProperties>
</file>

<file path=docProps/custom.xml><?xml version="1.0" encoding="utf-8"?>
<Properties xmlns="http://schemas.openxmlformats.org/officeDocument/2006/custom-properties" xmlns:vt="http://schemas.openxmlformats.org/officeDocument/2006/docPropsVTypes"/>
</file>